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6A1C" w14:textId="77777777" w:rsidR="00193BF4" w:rsidRDefault="00193BF4">
      <w:pPr>
        <w:tabs>
          <w:tab w:val="center" w:pos="4680"/>
        </w:tabs>
        <w:rPr>
          <w:b/>
          <w:bCs/>
          <w:sz w:val="24"/>
        </w:rPr>
      </w:pPr>
      <w:r>
        <w:rPr>
          <w:sz w:val="24"/>
        </w:rPr>
        <w:tab/>
      </w:r>
      <w:r w:rsidR="00E75DA1">
        <w:rPr>
          <w:b/>
          <w:bCs/>
          <w:sz w:val="24"/>
        </w:rPr>
        <w:t>FOUR COUNTY ADAMHS BOARD</w:t>
      </w:r>
    </w:p>
    <w:p w14:paraId="4CB287CB"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810457E"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2346EF4E" w14:textId="77777777" w:rsidR="00E75DA1" w:rsidRPr="00E75DA1" w:rsidRDefault="00E75DA1" w:rsidP="00E75DA1">
      <w:pPr>
        <w:tabs>
          <w:tab w:val="center" w:pos="4680"/>
        </w:tabs>
        <w:jc w:val="center"/>
        <w:rPr>
          <w:sz w:val="24"/>
        </w:rPr>
      </w:pPr>
      <w:r w:rsidRPr="00E75DA1">
        <w:rPr>
          <w:bCs/>
          <w:sz w:val="22"/>
          <w:szCs w:val="22"/>
        </w:rPr>
        <w:t>419/267-3355</w:t>
      </w:r>
    </w:p>
    <w:p w14:paraId="735758FA"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8FD6042" w14:textId="3747BA9F" w:rsidR="00193BF4" w:rsidRPr="00E75DA1" w:rsidRDefault="00193BF4">
      <w:pPr>
        <w:tabs>
          <w:tab w:val="center" w:pos="4680"/>
        </w:tabs>
        <w:rPr>
          <w:sz w:val="22"/>
          <w:szCs w:val="22"/>
        </w:rPr>
      </w:pPr>
      <w:r>
        <w:rPr>
          <w:sz w:val="24"/>
        </w:rPr>
        <w:tab/>
      </w:r>
      <w:r w:rsidR="0035554A">
        <w:rPr>
          <w:sz w:val="22"/>
          <w:szCs w:val="22"/>
        </w:rPr>
        <w:t>May 1</w:t>
      </w:r>
      <w:r w:rsidR="008557B3">
        <w:rPr>
          <w:sz w:val="22"/>
          <w:szCs w:val="22"/>
        </w:rPr>
        <w:t>1</w:t>
      </w:r>
      <w:r w:rsidR="00401A66">
        <w:rPr>
          <w:sz w:val="22"/>
          <w:szCs w:val="22"/>
        </w:rPr>
        <w:t>, 20</w:t>
      </w:r>
      <w:r w:rsidR="00AD2381">
        <w:rPr>
          <w:sz w:val="22"/>
          <w:szCs w:val="22"/>
        </w:rPr>
        <w:t>2</w:t>
      </w:r>
      <w:r w:rsidR="008557B3">
        <w:rPr>
          <w:sz w:val="22"/>
          <w:szCs w:val="22"/>
        </w:rPr>
        <w:t>3</w:t>
      </w:r>
    </w:p>
    <w:p w14:paraId="2B62C47B" w14:textId="77777777" w:rsidR="00193BF4" w:rsidRDefault="00193BF4">
      <w:pPr>
        <w:rPr>
          <w:sz w:val="24"/>
        </w:rPr>
      </w:pPr>
    </w:p>
    <w:p w14:paraId="071869F2"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4EA5126C" w14:textId="77777777" w:rsidR="002A6A0F" w:rsidRPr="000B1AD8" w:rsidRDefault="002A6A0F" w:rsidP="005F73A3">
      <w:pPr>
        <w:pStyle w:val="Quick1"/>
        <w:numPr>
          <w:ilvl w:val="0"/>
          <w:numId w:val="0"/>
        </w:numPr>
        <w:tabs>
          <w:tab w:val="left" w:pos="-1440"/>
        </w:tabs>
        <w:ind w:left="720"/>
        <w:jc w:val="both"/>
        <w:rPr>
          <w:sz w:val="16"/>
          <w:szCs w:val="16"/>
        </w:rPr>
      </w:pPr>
    </w:p>
    <w:p w14:paraId="2DC0AB34" w14:textId="0EC13302"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8557B3">
        <w:rPr>
          <w:szCs w:val="20"/>
        </w:rPr>
        <w:t>John Nye</w:t>
      </w:r>
      <w:r w:rsidRPr="009921E9">
        <w:rPr>
          <w:szCs w:val="20"/>
        </w:rPr>
        <w:t xml:space="preserve"> called the </w:t>
      </w:r>
      <w:r w:rsidR="0035554A">
        <w:rPr>
          <w:szCs w:val="20"/>
        </w:rPr>
        <w:t>May</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35554A">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35554A">
        <w:rPr>
          <w:szCs w:val="20"/>
        </w:rPr>
        <w:t>p</w:t>
      </w:r>
      <w:r w:rsidRPr="009921E9">
        <w:rPr>
          <w:szCs w:val="20"/>
        </w:rPr>
        <w:t>.m.</w:t>
      </w:r>
      <w:r w:rsidR="00401A66">
        <w:rPr>
          <w:szCs w:val="20"/>
        </w:rPr>
        <w:t xml:space="preserve"> </w:t>
      </w:r>
    </w:p>
    <w:p w14:paraId="5374A7EE" w14:textId="77777777" w:rsidR="00F44D57" w:rsidRPr="000B1AD8" w:rsidRDefault="00F44D57" w:rsidP="005F73A3">
      <w:pPr>
        <w:pStyle w:val="Quick1"/>
        <w:numPr>
          <w:ilvl w:val="0"/>
          <w:numId w:val="0"/>
        </w:numPr>
        <w:tabs>
          <w:tab w:val="left" w:pos="-1440"/>
        </w:tabs>
        <w:ind w:left="720" w:hanging="720"/>
        <w:jc w:val="both"/>
        <w:rPr>
          <w:sz w:val="16"/>
          <w:szCs w:val="16"/>
        </w:rPr>
      </w:pPr>
    </w:p>
    <w:p w14:paraId="3D5B3E96" w14:textId="7609BC93"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931C98">
        <w:rPr>
          <w:szCs w:val="20"/>
        </w:rPr>
        <w:t xml:space="preserve">Karen Bleeks, </w:t>
      </w:r>
      <w:r w:rsidR="00401A66">
        <w:rPr>
          <w:szCs w:val="20"/>
        </w:rPr>
        <w:t xml:space="preserve">Sandy Herman, </w:t>
      </w:r>
      <w:r w:rsidR="00645C19">
        <w:rPr>
          <w:szCs w:val="20"/>
        </w:rPr>
        <w:t xml:space="preserve">Tod Hug, </w:t>
      </w:r>
      <w:r w:rsidR="005A6EB5">
        <w:rPr>
          <w:szCs w:val="20"/>
        </w:rPr>
        <w:t xml:space="preserve">Jeff Mayer, </w:t>
      </w:r>
      <w:r w:rsidR="00AD2381">
        <w:rPr>
          <w:szCs w:val="20"/>
        </w:rPr>
        <w:t xml:space="preserve">Roy Miller, </w:t>
      </w:r>
      <w:r w:rsidR="00B0409E">
        <w:rPr>
          <w:szCs w:val="20"/>
        </w:rPr>
        <w:t xml:space="preserve">Marcia Mohre, </w:t>
      </w:r>
      <w:r w:rsidR="0035554A">
        <w:rPr>
          <w:szCs w:val="20"/>
        </w:rPr>
        <w:t>John Nye,</w:t>
      </w:r>
      <w:r w:rsidR="0035554A" w:rsidRPr="00025BB7">
        <w:rPr>
          <w:szCs w:val="20"/>
        </w:rPr>
        <w:t xml:space="preserve"> </w:t>
      </w:r>
      <w:r w:rsidR="008557B3">
        <w:rPr>
          <w:szCs w:val="20"/>
        </w:rPr>
        <w:t xml:space="preserve">Wayne Smith, </w:t>
      </w:r>
      <w:r w:rsidR="00931C98">
        <w:rPr>
          <w:szCs w:val="20"/>
        </w:rPr>
        <w:t>Scott Stiriz</w:t>
      </w:r>
      <w:r w:rsidR="00DD4D00">
        <w:rPr>
          <w:szCs w:val="20"/>
        </w:rPr>
        <w:t>,</w:t>
      </w:r>
      <w:r w:rsidR="00931C98">
        <w:rPr>
          <w:szCs w:val="20"/>
        </w:rPr>
        <w:t xml:space="preserve"> </w:t>
      </w:r>
      <w:r w:rsidR="006E37B4">
        <w:rPr>
          <w:szCs w:val="20"/>
        </w:rPr>
        <w:t>Sandi</w:t>
      </w:r>
      <w:r w:rsidRPr="009921E9">
        <w:rPr>
          <w:szCs w:val="20"/>
        </w:rPr>
        <w:t xml:space="preserve"> Weirauch</w:t>
      </w:r>
      <w:r w:rsidR="008557B3">
        <w:rPr>
          <w:szCs w:val="20"/>
        </w:rPr>
        <w:t>, Mari Yoder</w:t>
      </w:r>
    </w:p>
    <w:p w14:paraId="2DD2A083" w14:textId="6E94588C" w:rsidR="00DD4D00" w:rsidRDefault="00C76B61" w:rsidP="00DD4D00">
      <w:pPr>
        <w:pStyle w:val="Quick1"/>
        <w:numPr>
          <w:ilvl w:val="0"/>
          <w:numId w:val="0"/>
        </w:numPr>
        <w:tabs>
          <w:tab w:val="left" w:pos="-1440"/>
        </w:tabs>
        <w:ind w:left="720"/>
        <w:jc w:val="both"/>
        <w:rPr>
          <w:szCs w:val="20"/>
        </w:rPr>
      </w:pPr>
      <w:r w:rsidRPr="009921E9">
        <w:rPr>
          <w:b/>
          <w:szCs w:val="20"/>
        </w:rPr>
        <w:t>Absent</w:t>
      </w:r>
      <w:r w:rsidR="00913547">
        <w:rPr>
          <w:szCs w:val="20"/>
        </w:rPr>
        <w:t>:</w:t>
      </w:r>
      <w:r w:rsidR="00524C53">
        <w:rPr>
          <w:szCs w:val="20"/>
        </w:rPr>
        <w:t xml:space="preserve">  </w:t>
      </w:r>
      <w:r w:rsidR="00B0409E">
        <w:rPr>
          <w:szCs w:val="20"/>
        </w:rPr>
        <w:t>Michelle Oyer-Rose,</w:t>
      </w:r>
      <w:r w:rsidR="00B0409E" w:rsidRPr="00900CFF">
        <w:rPr>
          <w:szCs w:val="20"/>
        </w:rPr>
        <w:t xml:space="preserve"> </w:t>
      </w:r>
      <w:r w:rsidR="00524C53">
        <w:rPr>
          <w:szCs w:val="20"/>
        </w:rPr>
        <w:t>William Richter, Cindy Rose, Stephen Seagrave</w:t>
      </w:r>
      <w:r w:rsidR="00DD4D00">
        <w:rPr>
          <w:szCs w:val="20"/>
        </w:rPr>
        <w:t xml:space="preserve">  </w:t>
      </w:r>
    </w:p>
    <w:p w14:paraId="7FE7EB06" w14:textId="195B500F" w:rsidR="00D65469" w:rsidRPr="000E0899" w:rsidRDefault="00D65469" w:rsidP="008E4CD3">
      <w:pPr>
        <w:pStyle w:val="Quick1"/>
        <w:numPr>
          <w:ilvl w:val="0"/>
          <w:numId w:val="0"/>
        </w:numPr>
        <w:tabs>
          <w:tab w:val="left" w:pos="-1440"/>
        </w:tabs>
        <w:ind w:left="720"/>
        <w:jc w:val="both"/>
        <w:rPr>
          <w:szCs w:val="20"/>
        </w:rPr>
      </w:pPr>
      <w:r w:rsidRPr="009921E9">
        <w:rPr>
          <w:b/>
          <w:szCs w:val="20"/>
        </w:rPr>
        <w:t xml:space="preserve">Guests:  </w:t>
      </w:r>
      <w:r w:rsidR="00B0409E">
        <w:rPr>
          <w:bCs/>
          <w:szCs w:val="20"/>
        </w:rPr>
        <w:t xml:space="preserve">Roberta Mack, Center for Child/Family Advocacy; Jay </w:t>
      </w:r>
      <w:proofErr w:type="spellStart"/>
      <w:r w:rsidR="00B0409E">
        <w:rPr>
          <w:bCs/>
          <w:szCs w:val="20"/>
        </w:rPr>
        <w:t>Budde</w:t>
      </w:r>
      <w:proofErr w:type="spellEnd"/>
      <w:r w:rsidR="00B0409E">
        <w:rPr>
          <w:bCs/>
          <w:szCs w:val="20"/>
        </w:rPr>
        <w:t xml:space="preserve">, NW Ohio Guardianship Service </w:t>
      </w:r>
      <w:r w:rsidR="00900CFF">
        <w:rPr>
          <w:szCs w:val="20"/>
        </w:rPr>
        <w:t>Christine McVay</w:t>
      </w:r>
      <w:r w:rsidR="00931C98">
        <w:rPr>
          <w:szCs w:val="20"/>
        </w:rPr>
        <w:t xml:space="preserve">, </w:t>
      </w:r>
      <w:proofErr w:type="spellStart"/>
      <w:r w:rsidR="00931C98">
        <w:rPr>
          <w:szCs w:val="20"/>
        </w:rPr>
        <w:t>OhioGuidestone</w:t>
      </w:r>
      <w:proofErr w:type="spellEnd"/>
      <w:r w:rsidR="00025BB7">
        <w:rPr>
          <w:szCs w:val="20"/>
        </w:rPr>
        <w:t xml:space="preserve"> </w:t>
      </w:r>
    </w:p>
    <w:p w14:paraId="7F30398A" w14:textId="414E0131"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A3740D">
        <w:rPr>
          <w:szCs w:val="20"/>
        </w:rPr>
        <w:t>Diane Goyings</w:t>
      </w:r>
      <w:r w:rsidR="00335EA7">
        <w:rPr>
          <w:szCs w:val="20"/>
        </w:rPr>
        <w:t>, Tonie Long</w:t>
      </w:r>
      <w:r w:rsidR="00AD2381">
        <w:rPr>
          <w:szCs w:val="20"/>
        </w:rPr>
        <w:t>, Bethany Shirkey</w:t>
      </w:r>
    </w:p>
    <w:p w14:paraId="781C66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749FE609" w14:textId="39CEC96D"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6536B">
        <w:rPr>
          <w:szCs w:val="20"/>
        </w:rPr>
        <w:t>-</w:t>
      </w:r>
      <w:r w:rsidR="00B0409E">
        <w:rPr>
          <w:szCs w:val="20"/>
        </w:rPr>
        <w:t xml:space="preserve">Jay </w:t>
      </w:r>
      <w:proofErr w:type="spellStart"/>
      <w:r w:rsidR="00B0409E">
        <w:rPr>
          <w:szCs w:val="20"/>
        </w:rPr>
        <w:t>Budde</w:t>
      </w:r>
      <w:proofErr w:type="spellEnd"/>
      <w:r w:rsidR="00E0217F">
        <w:rPr>
          <w:szCs w:val="20"/>
        </w:rPr>
        <w:t xml:space="preserve"> introduced himself as the first multi-county guardianship board member representing </w:t>
      </w:r>
      <w:r w:rsidR="00222512">
        <w:rPr>
          <w:szCs w:val="20"/>
        </w:rPr>
        <w:t xml:space="preserve">mental health clients in </w:t>
      </w:r>
      <w:r w:rsidR="00E0217F">
        <w:rPr>
          <w:szCs w:val="20"/>
        </w:rPr>
        <w:t xml:space="preserve">Defiance, Fulton and Williams counties.  The guardianship board will be hiring an executive director and is looking for office space.  </w:t>
      </w:r>
    </w:p>
    <w:p w14:paraId="3548F050" w14:textId="77777777" w:rsidR="0035554A" w:rsidRPr="003562B3" w:rsidRDefault="0035554A" w:rsidP="0035554A">
      <w:pPr>
        <w:pStyle w:val="Quick1"/>
        <w:numPr>
          <w:ilvl w:val="0"/>
          <w:numId w:val="0"/>
        </w:numPr>
        <w:tabs>
          <w:tab w:val="left" w:pos="-1440"/>
        </w:tabs>
        <w:ind w:left="720" w:hanging="720"/>
        <w:jc w:val="both"/>
        <w:rPr>
          <w:szCs w:val="20"/>
        </w:rPr>
      </w:pPr>
    </w:p>
    <w:p w14:paraId="4A380F71" w14:textId="0FBFDA06"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AD2381">
        <w:rPr>
          <w:sz w:val="22"/>
          <w:szCs w:val="22"/>
        </w:rPr>
        <w:t xml:space="preserve">April </w:t>
      </w:r>
      <w:r w:rsidR="00931C98">
        <w:rPr>
          <w:sz w:val="22"/>
          <w:szCs w:val="22"/>
        </w:rPr>
        <w:t>1</w:t>
      </w:r>
      <w:r w:rsidR="008557B3">
        <w:rPr>
          <w:sz w:val="22"/>
          <w:szCs w:val="22"/>
        </w:rPr>
        <w:t>3</w:t>
      </w:r>
      <w:r w:rsidR="005A6EB5">
        <w:rPr>
          <w:sz w:val="22"/>
          <w:szCs w:val="22"/>
        </w:rPr>
        <w:t>, 20</w:t>
      </w:r>
      <w:r w:rsidR="00AD2381">
        <w:rPr>
          <w:sz w:val="22"/>
          <w:szCs w:val="22"/>
        </w:rPr>
        <w:t>2</w:t>
      </w:r>
      <w:r w:rsidR="008557B3">
        <w:rPr>
          <w:sz w:val="22"/>
          <w:szCs w:val="22"/>
        </w:rPr>
        <w:t>3</w:t>
      </w:r>
    </w:p>
    <w:p w14:paraId="63B54ED8" w14:textId="77777777" w:rsidR="00FE166B" w:rsidRPr="000B1AD8" w:rsidRDefault="00FE166B" w:rsidP="005F73A3">
      <w:pPr>
        <w:pStyle w:val="ListParagraph"/>
        <w:jc w:val="both"/>
        <w:rPr>
          <w:sz w:val="16"/>
          <w:szCs w:val="16"/>
        </w:rPr>
      </w:pPr>
    </w:p>
    <w:p w14:paraId="3D9EAAC8" w14:textId="2BB9F4F6" w:rsidR="00FE166B" w:rsidRPr="005B0720" w:rsidRDefault="008557B3" w:rsidP="005F73A3">
      <w:pPr>
        <w:pStyle w:val="Quick1"/>
        <w:numPr>
          <w:ilvl w:val="0"/>
          <w:numId w:val="0"/>
        </w:numPr>
        <w:tabs>
          <w:tab w:val="left" w:pos="-1440"/>
        </w:tabs>
        <w:ind w:left="720"/>
        <w:jc w:val="both"/>
        <w:rPr>
          <w:b/>
          <w:szCs w:val="20"/>
        </w:rPr>
      </w:pPr>
      <w:r>
        <w:rPr>
          <w:b/>
          <w:szCs w:val="20"/>
        </w:rPr>
        <w:t>5-11-23</w:t>
      </w:r>
      <w:r w:rsidR="00FE166B" w:rsidRPr="005B0720">
        <w:rPr>
          <w:b/>
          <w:szCs w:val="20"/>
        </w:rPr>
        <w:t>-</w:t>
      </w:r>
      <w:r w:rsidR="00D616D0" w:rsidRPr="005B0720">
        <w:rPr>
          <w:b/>
          <w:szCs w:val="20"/>
        </w:rPr>
        <w:t>1</w:t>
      </w:r>
      <w:r w:rsidR="00FE166B" w:rsidRPr="005B0720">
        <w:rPr>
          <w:b/>
          <w:szCs w:val="20"/>
        </w:rPr>
        <w:t xml:space="preserve"> Vote</w:t>
      </w:r>
    </w:p>
    <w:p w14:paraId="0B0A8D3B" w14:textId="2D062E9D" w:rsidR="00AD2381" w:rsidRPr="005B0720" w:rsidRDefault="00FE166B" w:rsidP="00A71643">
      <w:pPr>
        <w:pStyle w:val="Quick1"/>
        <w:numPr>
          <w:ilvl w:val="0"/>
          <w:numId w:val="0"/>
        </w:numPr>
        <w:tabs>
          <w:tab w:val="left" w:pos="-1440"/>
        </w:tabs>
        <w:ind w:left="720" w:hanging="720"/>
        <w:jc w:val="both"/>
        <w:rPr>
          <w:szCs w:val="20"/>
        </w:rPr>
      </w:pPr>
      <w:r w:rsidRPr="005B0720">
        <w:rPr>
          <w:b/>
          <w:szCs w:val="20"/>
        </w:rPr>
        <w:tab/>
      </w:r>
      <w:r w:rsidRPr="005B0720">
        <w:rPr>
          <w:szCs w:val="20"/>
        </w:rPr>
        <w:t>MOTION:</w:t>
      </w:r>
      <w:r w:rsidR="00900CFF">
        <w:rPr>
          <w:szCs w:val="20"/>
        </w:rPr>
        <w:t xml:space="preserve"> </w:t>
      </w:r>
      <w:r w:rsidR="003B2715">
        <w:rPr>
          <w:szCs w:val="20"/>
        </w:rPr>
        <w:t xml:space="preserve"> Tod Hug</w:t>
      </w:r>
      <w:r w:rsidR="00931C98">
        <w:rPr>
          <w:szCs w:val="20"/>
        </w:rPr>
        <w:tab/>
      </w:r>
      <w:r w:rsidR="00315C4A" w:rsidRPr="005B0720">
        <w:rPr>
          <w:szCs w:val="20"/>
        </w:rPr>
        <w:tab/>
      </w:r>
      <w:r w:rsidR="005B0720">
        <w:rPr>
          <w:szCs w:val="20"/>
        </w:rPr>
        <w:tab/>
      </w:r>
      <w:r w:rsidRPr="005B0720">
        <w:rPr>
          <w:szCs w:val="20"/>
        </w:rPr>
        <w:t>SECOND:</w:t>
      </w:r>
      <w:r w:rsidR="00A71643" w:rsidRPr="005B0720">
        <w:rPr>
          <w:szCs w:val="20"/>
        </w:rPr>
        <w:t xml:space="preserve">  </w:t>
      </w:r>
      <w:r w:rsidR="003B2715">
        <w:rPr>
          <w:szCs w:val="20"/>
        </w:rPr>
        <w:t>Sandy Herman</w:t>
      </w:r>
      <w:r w:rsidR="00AD2381" w:rsidRPr="005B0720">
        <w:rPr>
          <w:szCs w:val="20"/>
        </w:rPr>
        <w:tab/>
      </w:r>
      <w:r w:rsidR="00401A66" w:rsidRPr="005B0720">
        <w:rPr>
          <w:szCs w:val="20"/>
        </w:rPr>
        <w:tab/>
      </w:r>
      <w:r w:rsidRPr="005B0720">
        <w:rPr>
          <w:szCs w:val="20"/>
        </w:rPr>
        <w:t>MOTION PASSED</w:t>
      </w:r>
    </w:p>
    <w:p w14:paraId="2ED8CA5B" w14:textId="77777777" w:rsidR="00A71643" w:rsidRPr="003562B3" w:rsidRDefault="00A71643" w:rsidP="00A71643">
      <w:pPr>
        <w:pStyle w:val="Quick1"/>
        <w:numPr>
          <w:ilvl w:val="0"/>
          <w:numId w:val="0"/>
        </w:numPr>
        <w:tabs>
          <w:tab w:val="left" w:pos="-1440"/>
        </w:tabs>
        <w:ind w:left="720" w:hanging="720"/>
        <w:jc w:val="both"/>
        <w:rPr>
          <w:szCs w:val="20"/>
        </w:rPr>
      </w:pPr>
    </w:p>
    <w:p w14:paraId="4DD7C832" w14:textId="77777777" w:rsidR="00D84E10" w:rsidRDefault="00AD2381"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6A27F669" w14:textId="77777777" w:rsidR="00543CF5" w:rsidRPr="00756857" w:rsidRDefault="00543CF5" w:rsidP="005F73A3">
      <w:pPr>
        <w:pStyle w:val="Quick1"/>
        <w:numPr>
          <w:ilvl w:val="0"/>
          <w:numId w:val="0"/>
        </w:numPr>
        <w:tabs>
          <w:tab w:val="left" w:pos="-1440"/>
        </w:tabs>
        <w:jc w:val="both"/>
        <w:rPr>
          <w:sz w:val="16"/>
          <w:szCs w:val="16"/>
        </w:rPr>
      </w:pPr>
    </w:p>
    <w:p w14:paraId="1A250897" w14:textId="2745D218" w:rsidR="00645C19" w:rsidRDefault="00D411FB" w:rsidP="00C67D90">
      <w:pPr>
        <w:pStyle w:val="Quick1"/>
        <w:numPr>
          <w:ilvl w:val="0"/>
          <w:numId w:val="30"/>
        </w:numPr>
        <w:tabs>
          <w:tab w:val="left" w:pos="-1440"/>
        </w:tabs>
        <w:jc w:val="both"/>
        <w:rPr>
          <w:szCs w:val="20"/>
        </w:rPr>
      </w:pPr>
      <w:r>
        <w:rPr>
          <w:szCs w:val="20"/>
        </w:rPr>
        <w:t>Mari Yoder reported that she has r</w:t>
      </w:r>
      <w:r w:rsidR="00D97A84" w:rsidRPr="00645C19">
        <w:rPr>
          <w:szCs w:val="20"/>
        </w:rPr>
        <w:t>eview</w:t>
      </w:r>
      <w:r w:rsidR="00981F01">
        <w:rPr>
          <w:szCs w:val="20"/>
        </w:rPr>
        <w:t>ed</w:t>
      </w:r>
      <w:r w:rsidR="00B13C6F" w:rsidRPr="00645C19">
        <w:rPr>
          <w:szCs w:val="20"/>
        </w:rPr>
        <w:t xml:space="preserve"> </w:t>
      </w:r>
      <w:r w:rsidR="00A3740D" w:rsidRPr="00645C19">
        <w:rPr>
          <w:szCs w:val="20"/>
        </w:rPr>
        <w:t xml:space="preserve">Policy </w:t>
      </w:r>
      <w:r w:rsidR="00F10D99">
        <w:rPr>
          <w:szCs w:val="20"/>
        </w:rPr>
        <w:t>2</w:t>
      </w:r>
      <w:r w:rsidR="00A3740D" w:rsidRPr="00645C19">
        <w:rPr>
          <w:szCs w:val="20"/>
        </w:rPr>
        <w:t>.</w:t>
      </w:r>
      <w:r w:rsidR="00F10D99">
        <w:rPr>
          <w:szCs w:val="20"/>
        </w:rPr>
        <w:t>1</w:t>
      </w:r>
      <w:r w:rsidR="00A3740D" w:rsidRPr="00645C19">
        <w:rPr>
          <w:szCs w:val="20"/>
        </w:rPr>
        <w:t xml:space="preserve"> (</w:t>
      </w:r>
      <w:r w:rsidR="00F10D99">
        <w:rPr>
          <w:szCs w:val="20"/>
        </w:rPr>
        <w:t>Philosophy of Governance</w:t>
      </w:r>
      <w:r w:rsidR="00A3740D" w:rsidRPr="00645C19">
        <w:rPr>
          <w:szCs w:val="20"/>
        </w:rPr>
        <w:t>)</w:t>
      </w:r>
      <w:r>
        <w:rPr>
          <w:szCs w:val="20"/>
        </w:rPr>
        <w:t xml:space="preserve"> and the Board is in compliance.  She recommended changing executive director to CEO in the second paragraph of page 1.  The Board</w:t>
      </w:r>
      <w:r w:rsidR="00A3740D" w:rsidRPr="00645C19">
        <w:rPr>
          <w:szCs w:val="20"/>
        </w:rPr>
        <w:t xml:space="preserve"> </w:t>
      </w:r>
      <w:r w:rsidR="008E4CD3">
        <w:rPr>
          <w:szCs w:val="20"/>
        </w:rPr>
        <w:t xml:space="preserve">was </w:t>
      </w:r>
      <w:r>
        <w:rPr>
          <w:szCs w:val="20"/>
        </w:rPr>
        <w:t xml:space="preserve">in agreement.  </w:t>
      </w:r>
      <w:r>
        <w:rPr>
          <w:i/>
          <w:iCs/>
          <w:szCs w:val="20"/>
        </w:rPr>
        <w:t xml:space="preserve">A updated copy </w:t>
      </w:r>
      <w:r w:rsidR="00981F01">
        <w:rPr>
          <w:i/>
          <w:iCs/>
          <w:szCs w:val="20"/>
        </w:rPr>
        <w:t xml:space="preserve">of the </w:t>
      </w:r>
      <w:r>
        <w:rPr>
          <w:i/>
          <w:iCs/>
          <w:szCs w:val="20"/>
        </w:rPr>
        <w:t>policy will be given to the Board.</w:t>
      </w:r>
    </w:p>
    <w:p w14:paraId="6906B0AC" w14:textId="54D744E5" w:rsidR="00931C98" w:rsidRDefault="00D411FB" w:rsidP="00B429C6">
      <w:pPr>
        <w:pStyle w:val="Quick1"/>
        <w:numPr>
          <w:ilvl w:val="0"/>
          <w:numId w:val="30"/>
        </w:numPr>
        <w:tabs>
          <w:tab w:val="left" w:pos="-1440"/>
        </w:tabs>
        <w:spacing w:before="60"/>
        <w:jc w:val="both"/>
        <w:rPr>
          <w:szCs w:val="20"/>
        </w:rPr>
      </w:pPr>
      <w:r>
        <w:rPr>
          <w:szCs w:val="20"/>
        </w:rPr>
        <w:t xml:space="preserve">Review of </w:t>
      </w:r>
      <w:r w:rsidR="004819B2" w:rsidRPr="00931C98">
        <w:rPr>
          <w:szCs w:val="20"/>
        </w:rPr>
        <w:t>p</w:t>
      </w:r>
      <w:r w:rsidR="008251B5" w:rsidRPr="00931C98">
        <w:rPr>
          <w:szCs w:val="20"/>
        </w:rPr>
        <w:t>olicy</w:t>
      </w:r>
      <w:r w:rsidR="0084014A" w:rsidRPr="00931C98">
        <w:rPr>
          <w:szCs w:val="20"/>
        </w:rPr>
        <w:t xml:space="preserve"> </w:t>
      </w:r>
      <w:r w:rsidR="006413AE" w:rsidRPr="00931C98">
        <w:rPr>
          <w:szCs w:val="20"/>
        </w:rPr>
        <w:t>2.</w:t>
      </w:r>
      <w:r w:rsidR="00F10D99" w:rsidRPr="00931C98">
        <w:rPr>
          <w:szCs w:val="20"/>
        </w:rPr>
        <w:t>5</w:t>
      </w:r>
      <w:r w:rsidR="0084014A" w:rsidRPr="00931C98">
        <w:rPr>
          <w:szCs w:val="20"/>
        </w:rPr>
        <w:t xml:space="preserve"> (</w:t>
      </w:r>
      <w:r w:rsidR="00F10D99" w:rsidRPr="00931C98">
        <w:rPr>
          <w:szCs w:val="20"/>
        </w:rPr>
        <w:t>Election of Officers</w:t>
      </w:r>
      <w:r w:rsidR="0084014A" w:rsidRPr="00931C98">
        <w:rPr>
          <w:szCs w:val="20"/>
        </w:rPr>
        <w:t xml:space="preserve">) </w:t>
      </w:r>
      <w:r>
        <w:rPr>
          <w:szCs w:val="20"/>
        </w:rPr>
        <w:t>was tabled until the next</w:t>
      </w:r>
      <w:r w:rsidR="00931C98">
        <w:rPr>
          <w:szCs w:val="20"/>
        </w:rPr>
        <w:t xml:space="preserve"> Board </w:t>
      </w:r>
      <w:r>
        <w:rPr>
          <w:szCs w:val="20"/>
        </w:rPr>
        <w:t>meeting</w:t>
      </w:r>
      <w:r w:rsidR="00931C98">
        <w:rPr>
          <w:szCs w:val="20"/>
        </w:rPr>
        <w:t>.</w:t>
      </w:r>
    </w:p>
    <w:p w14:paraId="07904C93" w14:textId="095E104B" w:rsidR="00931A16" w:rsidRDefault="00931A16" w:rsidP="00B429C6">
      <w:pPr>
        <w:pStyle w:val="Quick1"/>
        <w:numPr>
          <w:ilvl w:val="0"/>
          <w:numId w:val="30"/>
        </w:numPr>
        <w:tabs>
          <w:tab w:val="left" w:pos="-1440"/>
        </w:tabs>
        <w:spacing w:before="60"/>
        <w:jc w:val="both"/>
        <w:rPr>
          <w:szCs w:val="20"/>
        </w:rPr>
      </w:pPr>
      <w:r>
        <w:rPr>
          <w:szCs w:val="20"/>
        </w:rPr>
        <w:t>Motion was made to approve the following resolution:</w:t>
      </w:r>
    </w:p>
    <w:p w14:paraId="0360FACC" w14:textId="77777777" w:rsidR="00931A16" w:rsidRDefault="00931A16" w:rsidP="00931A16">
      <w:pPr>
        <w:jc w:val="both"/>
        <w:rPr>
          <w:i/>
        </w:rPr>
      </w:pPr>
    </w:p>
    <w:p w14:paraId="3D4A7AFA" w14:textId="4BC5EEA5" w:rsidR="00931A16" w:rsidRDefault="00931A16" w:rsidP="00931A16">
      <w:pPr>
        <w:jc w:val="both"/>
        <w:rPr>
          <w:i/>
        </w:rPr>
      </w:pPr>
      <w:r>
        <w:rPr>
          <w:i/>
        </w:rPr>
        <w:t>A resolution requesting that the Defiance County Auditor certify the district’s total current valuation and the dollar amount of revenue that would be generated by a specific number of mills as a renewal levy.</w:t>
      </w:r>
    </w:p>
    <w:p w14:paraId="6D5C9BEA" w14:textId="77777777" w:rsidR="00931A16" w:rsidRDefault="00931A16" w:rsidP="00931A16">
      <w:pPr>
        <w:jc w:val="both"/>
        <w:rPr>
          <w:i/>
        </w:rPr>
      </w:pPr>
    </w:p>
    <w:p w14:paraId="14D64AB5" w14:textId="77777777" w:rsidR="00931A16" w:rsidRDefault="00931A16" w:rsidP="00931A16">
      <w:pPr>
        <w:jc w:val="both"/>
      </w:pPr>
      <w:r>
        <w:rPr>
          <w:b/>
          <w:i/>
        </w:rPr>
        <w:t>WHEREAS,</w:t>
      </w:r>
      <w:r>
        <w:t xml:space="preserve"> an election on November 7, 2023, the electors of the Four County </w:t>
      </w:r>
      <w:proofErr w:type="spellStart"/>
      <w:r>
        <w:t>ADAMhs</w:t>
      </w:r>
      <w:proofErr w:type="spellEnd"/>
      <w:r>
        <w:t xml:space="preserve"> Board District approved a renewal tax for a period of five years; and</w:t>
      </w:r>
    </w:p>
    <w:p w14:paraId="7BFCCE67" w14:textId="77777777" w:rsidR="00931A16" w:rsidRDefault="00931A16" w:rsidP="00931A16">
      <w:pPr>
        <w:jc w:val="both"/>
      </w:pPr>
    </w:p>
    <w:p w14:paraId="2C873EA7" w14:textId="77777777" w:rsidR="00931A16" w:rsidRDefault="00931A16" w:rsidP="00931A16">
      <w:pPr>
        <w:jc w:val="both"/>
      </w:pPr>
      <w:r>
        <w:rPr>
          <w:b/>
          <w:i/>
        </w:rPr>
        <w:t>WHEREAS,</w:t>
      </w:r>
      <w:r>
        <w:t xml:space="preserve"> the last collection of that tax levy will occur in the year 2024 and this board had determined that the continuation of the collection of that tax for an additional five years is necessary for the proper operation of the District;</w:t>
      </w:r>
    </w:p>
    <w:p w14:paraId="5B7B629C" w14:textId="77777777" w:rsidR="00931A16" w:rsidRDefault="00931A16" w:rsidP="00931A16">
      <w:pPr>
        <w:jc w:val="both"/>
      </w:pPr>
    </w:p>
    <w:p w14:paraId="2782E1A0" w14:textId="77777777" w:rsidR="00931A16" w:rsidRDefault="00931A16" w:rsidP="00931A16">
      <w:pPr>
        <w:jc w:val="both"/>
      </w:pPr>
      <w:r>
        <w:rPr>
          <w:b/>
          <w:i/>
        </w:rPr>
        <w:t>NOW, THEREFORE, BE IT RESOLVED,</w:t>
      </w:r>
      <w:r>
        <w:t xml:space="preserve"> by the Four County </w:t>
      </w:r>
      <w:proofErr w:type="spellStart"/>
      <w:r>
        <w:t>ADAMhs</w:t>
      </w:r>
      <w:proofErr w:type="spellEnd"/>
      <w:r>
        <w:t xml:space="preserve"> Board of Defiance, Fulton, Henry and Williams counties, that:</w:t>
      </w:r>
    </w:p>
    <w:p w14:paraId="631680A1" w14:textId="77777777" w:rsidR="00931A16" w:rsidRDefault="00931A16" w:rsidP="00931A16">
      <w:pPr>
        <w:jc w:val="both"/>
      </w:pPr>
    </w:p>
    <w:p w14:paraId="71518198" w14:textId="77777777" w:rsidR="00931A16" w:rsidRDefault="00931A16" w:rsidP="00931A16">
      <w:pPr>
        <w:jc w:val="both"/>
      </w:pPr>
      <w:r>
        <w:t>Section 1.  This board requests the Defiance County Auditor certify to it the following:</w:t>
      </w:r>
    </w:p>
    <w:p w14:paraId="5EE58DA4" w14:textId="77777777" w:rsidR="00931A16" w:rsidRDefault="00931A16" w:rsidP="00931A16">
      <w:pPr>
        <w:widowControl/>
        <w:numPr>
          <w:ilvl w:val="0"/>
          <w:numId w:val="33"/>
        </w:numPr>
        <w:autoSpaceDE/>
        <w:autoSpaceDN/>
        <w:adjustRightInd/>
        <w:jc w:val="both"/>
      </w:pPr>
      <w:r>
        <w:t>The total current tax valuation of the District, and</w:t>
      </w:r>
    </w:p>
    <w:p w14:paraId="2777BC4C" w14:textId="77777777" w:rsidR="00931A16" w:rsidRDefault="00931A16" w:rsidP="00931A16">
      <w:pPr>
        <w:widowControl/>
        <w:numPr>
          <w:ilvl w:val="0"/>
          <w:numId w:val="33"/>
        </w:numPr>
        <w:autoSpaceDE/>
        <w:autoSpaceDN/>
        <w:adjustRightInd/>
        <w:jc w:val="both"/>
      </w:pPr>
      <w:r>
        <w:t>The dollar amount of revenue that would be generated by .7 (seven-tenths) mill as a renewal levy.</w:t>
      </w:r>
    </w:p>
    <w:p w14:paraId="377F82C8" w14:textId="77777777" w:rsidR="00931A16" w:rsidRDefault="00931A16" w:rsidP="00931A16">
      <w:pPr>
        <w:ind w:left="720"/>
        <w:jc w:val="both"/>
      </w:pPr>
    </w:p>
    <w:p w14:paraId="31C8FDF6" w14:textId="77777777" w:rsidR="00931A16" w:rsidRDefault="00931A16" w:rsidP="00931A16">
      <w:pPr>
        <w:jc w:val="both"/>
      </w:pPr>
      <w:r>
        <w:t>Section 2.  This board states that the purpose of this levy is to provide current expenses and that Section 5705.19 of the Revised Code authorizes submission of the question of the levy.</w:t>
      </w:r>
    </w:p>
    <w:p w14:paraId="06C38EE7" w14:textId="77777777" w:rsidR="00931A16" w:rsidRDefault="00931A16" w:rsidP="00931A16">
      <w:pPr>
        <w:jc w:val="both"/>
      </w:pPr>
    </w:p>
    <w:p w14:paraId="174DE0CE" w14:textId="77777777" w:rsidR="00931A16" w:rsidRDefault="00931A16" w:rsidP="00931A16">
      <w:pPr>
        <w:jc w:val="both"/>
      </w:pPr>
      <w:r>
        <w:t>Section 3.  That the chairperson or vice-chairperson of the board shall immediately deliver a certified copy of this resolution to Jill Little, Defiance County auditor.</w:t>
      </w:r>
    </w:p>
    <w:p w14:paraId="21B5EABF" w14:textId="77777777" w:rsidR="00931A16" w:rsidRDefault="00931A16" w:rsidP="00931A16">
      <w:pPr>
        <w:jc w:val="both"/>
      </w:pPr>
    </w:p>
    <w:p w14:paraId="5AFB65CC" w14:textId="77777777" w:rsidR="00931A16" w:rsidRDefault="00931A16" w:rsidP="00931A16">
      <w:pPr>
        <w:jc w:val="both"/>
      </w:pPr>
      <w:r>
        <w:t xml:space="preserve">Section 4.  This board finds and determines that all formal actions of this board, and of any of its committees concerning and relating to the adoption of this resolution were taken, and that all deliberations of this board and of </w:t>
      </w:r>
      <w:r>
        <w:lastRenderedPageBreak/>
        <w:t>any of its committees that resulted in those formal actions were held, in meeting open to the public, in compliance with the law.</w:t>
      </w:r>
    </w:p>
    <w:p w14:paraId="6EDC7AD5" w14:textId="4C157B99" w:rsidR="00931A16" w:rsidRPr="005B0720" w:rsidRDefault="00931A16" w:rsidP="00931A16">
      <w:pPr>
        <w:pStyle w:val="Quick1"/>
        <w:numPr>
          <w:ilvl w:val="0"/>
          <w:numId w:val="0"/>
        </w:numPr>
        <w:tabs>
          <w:tab w:val="left" w:pos="-1440"/>
        </w:tabs>
        <w:ind w:left="1440" w:hanging="720"/>
        <w:jc w:val="both"/>
        <w:rPr>
          <w:b/>
          <w:szCs w:val="20"/>
        </w:rPr>
      </w:pPr>
      <w:r w:rsidRPr="005B0720">
        <w:rPr>
          <w:b/>
          <w:szCs w:val="20"/>
        </w:rPr>
        <w:t>5-1</w:t>
      </w:r>
      <w:r>
        <w:rPr>
          <w:b/>
          <w:szCs w:val="20"/>
        </w:rPr>
        <w:t>1</w:t>
      </w:r>
      <w:r w:rsidRPr="005B0720">
        <w:rPr>
          <w:b/>
          <w:szCs w:val="20"/>
        </w:rPr>
        <w:t>-2</w:t>
      </w:r>
      <w:r>
        <w:rPr>
          <w:b/>
          <w:szCs w:val="20"/>
        </w:rPr>
        <w:t>3</w:t>
      </w:r>
      <w:r w:rsidRPr="005B0720">
        <w:rPr>
          <w:b/>
          <w:szCs w:val="20"/>
        </w:rPr>
        <w:t>-</w:t>
      </w:r>
      <w:r>
        <w:rPr>
          <w:b/>
          <w:szCs w:val="20"/>
        </w:rPr>
        <w:t>2</w:t>
      </w:r>
      <w:r w:rsidRPr="005B0720">
        <w:rPr>
          <w:b/>
          <w:szCs w:val="20"/>
        </w:rPr>
        <w:t xml:space="preserve"> Vote</w:t>
      </w:r>
    </w:p>
    <w:p w14:paraId="1B613B90" w14:textId="14538B04" w:rsidR="00931A16" w:rsidRPr="005B0720" w:rsidRDefault="00931A16" w:rsidP="00931A16">
      <w:pPr>
        <w:pStyle w:val="Quick1"/>
        <w:numPr>
          <w:ilvl w:val="0"/>
          <w:numId w:val="0"/>
        </w:numPr>
        <w:tabs>
          <w:tab w:val="left" w:pos="-1440"/>
        </w:tabs>
        <w:ind w:left="1440" w:hanging="720"/>
        <w:jc w:val="both"/>
        <w:rPr>
          <w:szCs w:val="20"/>
        </w:rPr>
      </w:pPr>
      <w:r w:rsidRPr="005B0720">
        <w:rPr>
          <w:szCs w:val="20"/>
        </w:rPr>
        <w:t xml:space="preserve">MOTION:  </w:t>
      </w:r>
      <w:r w:rsidR="003B2715">
        <w:rPr>
          <w:szCs w:val="20"/>
        </w:rPr>
        <w:t>Mari Yoder</w:t>
      </w:r>
      <w:r w:rsidRPr="005B0720">
        <w:rPr>
          <w:szCs w:val="20"/>
        </w:rPr>
        <w:tab/>
      </w:r>
      <w:r w:rsidRPr="005B0720">
        <w:rPr>
          <w:szCs w:val="20"/>
        </w:rPr>
        <w:tab/>
      </w:r>
      <w:r w:rsidRPr="005B0720">
        <w:rPr>
          <w:szCs w:val="20"/>
        </w:rPr>
        <w:tab/>
        <w:t xml:space="preserve">SECOND:  </w:t>
      </w:r>
      <w:r w:rsidR="003B2715">
        <w:rPr>
          <w:szCs w:val="20"/>
        </w:rPr>
        <w:t>Marcia Mohre</w:t>
      </w:r>
      <w:r w:rsidRPr="005B0720">
        <w:rPr>
          <w:szCs w:val="20"/>
        </w:rPr>
        <w:tab/>
      </w:r>
      <w:r w:rsidRPr="005B0720">
        <w:rPr>
          <w:szCs w:val="20"/>
        </w:rPr>
        <w:tab/>
        <w:t>MOTION PASSED</w:t>
      </w:r>
    </w:p>
    <w:p w14:paraId="7C36B24A" w14:textId="77777777" w:rsidR="00931A16" w:rsidRDefault="00931A16" w:rsidP="00931A16">
      <w:pPr>
        <w:pStyle w:val="Quick1"/>
        <w:numPr>
          <w:ilvl w:val="0"/>
          <w:numId w:val="0"/>
        </w:numPr>
        <w:tabs>
          <w:tab w:val="left" w:pos="-1440"/>
        </w:tabs>
        <w:ind w:left="720"/>
        <w:jc w:val="both"/>
        <w:rPr>
          <w:sz w:val="18"/>
          <w:szCs w:val="18"/>
        </w:rPr>
      </w:pPr>
    </w:p>
    <w:p w14:paraId="5962BCD0" w14:textId="60E8D6FE" w:rsidR="00931A16" w:rsidRDefault="00931A16" w:rsidP="00931A16">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xml:space="preserve">, yes; </w:t>
      </w:r>
      <w:r>
        <w:rPr>
          <w:sz w:val="18"/>
          <w:szCs w:val="18"/>
        </w:rPr>
        <w:t xml:space="preserve">Tod Hug, yes; Jeff Mayer, yes; Roy Miller, yes; Marcia Mohre, </w:t>
      </w:r>
      <w:r w:rsidR="003B2715">
        <w:rPr>
          <w:sz w:val="18"/>
          <w:szCs w:val="18"/>
        </w:rPr>
        <w:t>yes</w:t>
      </w:r>
      <w:r>
        <w:rPr>
          <w:sz w:val="18"/>
          <w:szCs w:val="18"/>
        </w:rPr>
        <w:t xml:space="preserve">; John Nye, yes; Michelle Oyer-Rose, </w:t>
      </w:r>
      <w:r w:rsidR="003B2715">
        <w:rPr>
          <w:sz w:val="18"/>
          <w:szCs w:val="18"/>
        </w:rPr>
        <w:t>absent</w:t>
      </w:r>
      <w:r>
        <w:rPr>
          <w:sz w:val="18"/>
          <w:szCs w:val="18"/>
        </w:rPr>
        <w:t xml:space="preserve">; Dr. William Richter, absent; </w:t>
      </w:r>
      <w:r w:rsidRPr="00BF61D4">
        <w:rPr>
          <w:sz w:val="18"/>
          <w:szCs w:val="18"/>
        </w:rPr>
        <w:t xml:space="preserve">Cindy Rose, yes; </w:t>
      </w:r>
      <w:r>
        <w:rPr>
          <w:sz w:val="18"/>
          <w:szCs w:val="18"/>
        </w:rPr>
        <w:t xml:space="preserve">Stephen Seagrave, absent; Wayne Smith, yes; Scott Stiriz, yes; </w:t>
      </w:r>
      <w:r w:rsidRPr="00BF61D4">
        <w:rPr>
          <w:sz w:val="18"/>
          <w:szCs w:val="18"/>
        </w:rPr>
        <w:t>Sandra Weirauch, yes</w:t>
      </w:r>
      <w:r>
        <w:rPr>
          <w:sz w:val="18"/>
          <w:szCs w:val="18"/>
        </w:rPr>
        <w:t>; Mari Yoder, yes</w:t>
      </w:r>
      <w:r w:rsidRPr="00BF61D4">
        <w:rPr>
          <w:sz w:val="18"/>
          <w:szCs w:val="18"/>
        </w:rPr>
        <w:t>.</w:t>
      </w:r>
    </w:p>
    <w:p w14:paraId="3BF26230" w14:textId="77777777" w:rsidR="00931A16" w:rsidRPr="00756857" w:rsidRDefault="00931A16" w:rsidP="00931A16">
      <w:pPr>
        <w:pStyle w:val="Quick1"/>
        <w:numPr>
          <w:ilvl w:val="0"/>
          <w:numId w:val="0"/>
        </w:numPr>
        <w:tabs>
          <w:tab w:val="left" w:pos="-1440"/>
        </w:tabs>
        <w:ind w:left="720"/>
        <w:jc w:val="both"/>
        <w:rPr>
          <w:sz w:val="16"/>
          <w:szCs w:val="16"/>
        </w:rPr>
      </w:pPr>
      <w:r w:rsidRPr="00756857">
        <w:rPr>
          <w:sz w:val="16"/>
          <w:szCs w:val="16"/>
        </w:rPr>
        <w:tab/>
      </w:r>
    </w:p>
    <w:p w14:paraId="5CAD911F" w14:textId="77777777" w:rsidR="00931A16" w:rsidRDefault="00931A16" w:rsidP="00931A16">
      <w:pPr>
        <w:pStyle w:val="Quick1"/>
        <w:numPr>
          <w:ilvl w:val="0"/>
          <w:numId w:val="0"/>
        </w:numPr>
        <w:tabs>
          <w:tab w:val="left" w:pos="-1440"/>
        </w:tabs>
        <w:ind w:left="720"/>
        <w:jc w:val="both"/>
        <w:rPr>
          <w:sz w:val="22"/>
          <w:szCs w:val="22"/>
        </w:rPr>
      </w:pPr>
      <w:r>
        <w:rPr>
          <w:szCs w:val="20"/>
        </w:rPr>
        <w:t>Roll Call: 12 yes, 0 no</w:t>
      </w:r>
      <w:r>
        <w:rPr>
          <w:szCs w:val="20"/>
        </w:rPr>
        <w:tab/>
      </w:r>
      <w:r>
        <w:rPr>
          <w:szCs w:val="20"/>
        </w:rPr>
        <w:tab/>
      </w:r>
      <w:r>
        <w:rPr>
          <w:szCs w:val="20"/>
        </w:rPr>
        <w:tab/>
      </w:r>
      <w:r>
        <w:rPr>
          <w:sz w:val="22"/>
          <w:szCs w:val="22"/>
        </w:rPr>
        <w:t>MOTION PASSED</w:t>
      </w:r>
    </w:p>
    <w:p w14:paraId="57F15832" w14:textId="77777777" w:rsidR="00861122" w:rsidRPr="00A3740D" w:rsidRDefault="00861122" w:rsidP="00861122">
      <w:pPr>
        <w:pStyle w:val="Quick1"/>
        <w:numPr>
          <w:ilvl w:val="0"/>
          <w:numId w:val="0"/>
        </w:numPr>
        <w:tabs>
          <w:tab w:val="left" w:pos="-1440"/>
        </w:tabs>
        <w:ind w:left="1440"/>
        <w:jc w:val="both"/>
        <w:rPr>
          <w:szCs w:val="20"/>
        </w:rPr>
      </w:pPr>
    </w:p>
    <w:p w14:paraId="06EB58CF" w14:textId="77777777" w:rsidR="005E2893" w:rsidRDefault="00BD23DB" w:rsidP="00C01BD9">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0DBAAD15" w14:textId="77777777" w:rsidR="00C01BD9" w:rsidRPr="00C01BD9" w:rsidRDefault="00C01BD9" w:rsidP="00C01BD9">
      <w:pPr>
        <w:pStyle w:val="Quick1"/>
        <w:numPr>
          <w:ilvl w:val="0"/>
          <w:numId w:val="0"/>
        </w:numPr>
        <w:tabs>
          <w:tab w:val="left" w:pos="-1440"/>
        </w:tabs>
        <w:jc w:val="both"/>
        <w:rPr>
          <w:sz w:val="22"/>
          <w:szCs w:val="22"/>
        </w:rPr>
      </w:pPr>
    </w:p>
    <w:p w14:paraId="2C36AA06" w14:textId="5C83FED7" w:rsidR="00861122" w:rsidRDefault="005E2893" w:rsidP="007E1D62">
      <w:pPr>
        <w:pStyle w:val="ListParagraph"/>
        <w:numPr>
          <w:ilvl w:val="0"/>
          <w:numId w:val="24"/>
        </w:numPr>
        <w:ind w:left="1080"/>
        <w:jc w:val="both"/>
      </w:pPr>
      <w:r w:rsidRPr="006C5B09">
        <w:rPr>
          <w:sz w:val="22"/>
          <w:szCs w:val="22"/>
        </w:rPr>
        <w:t>CEO Report</w:t>
      </w:r>
      <w:r w:rsidR="00315C4A">
        <w:t>-</w:t>
      </w:r>
      <w:r w:rsidR="00D411FB">
        <w:t>A copy of the latest opioid settlements were available at the Board meeting for review</w:t>
      </w:r>
      <w:r w:rsidR="006C5B09">
        <w:t xml:space="preserve"> and the following resolution was approved.</w:t>
      </w:r>
    </w:p>
    <w:p w14:paraId="07CF4050" w14:textId="77777777" w:rsidR="006C5B09" w:rsidRPr="001F1423" w:rsidRDefault="006C5B09" w:rsidP="006C5B09">
      <w:pPr>
        <w:keepNext/>
        <w:keepLines/>
        <w:widowControl/>
        <w:autoSpaceDE/>
        <w:adjustRightInd/>
        <w:spacing w:before="480" w:line="276" w:lineRule="auto"/>
        <w:outlineLvl w:val="0"/>
        <w:rPr>
          <w:rFonts w:eastAsiaTheme="majorEastAsia"/>
          <w:b/>
          <w:szCs w:val="20"/>
        </w:rPr>
      </w:pPr>
      <w:r w:rsidRPr="001F1423">
        <w:rPr>
          <w:rFonts w:eastAsiaTheme="majorEastAsia"/>
          <w:b/>
          <w:szCs w:val="20"/>
        </w:rPr>
        <w:t>DATE: May 11, 2023</w:t>
      </w:r>
    </w:p>
    <w:p w14:paraId="34E30119" w14:textId="77777777" w:rsidR="006C5B09" w:rsidRPr="001F1423" w:rsidRDefault="006C5B09" w:rsidP="006C5B09">
      <w:pPr>
        <w:widowControl/>
        <w:autoSpaceDE/>
        <w:adjustRightInd/>
        <w:spacing w:line="480" w:lineRule="auto"/>
        <w:jc w:val="center"/>
        <w:rPr>
          <w:rFonts w:eastAsiaTheme="minorEastAsia"/>
          <w:szCs w:val="20"/>
        </w:rPr>
      </w:pPr>
      <w:r w:rsidRPr="001F1423">
        <w:rPr>
          <w:rFonts w:eastAsiaTheme="minorEastAsia"/>
          <w:szCs w:val="20"/>
        </w:rPr>
        <w:t xml:space="preserve"> </w:t>
      </w:r>
      <w:r w:rsidRPr="001F1423">
        <w:rPr>
          <w:rFonts w:eastAsiaTheme="minorEastAsia"/>
          <w:szCs w:val="20"/>
        </w:rPr>
        <w:tab/>
      </w:r>
      <w:r w:rsidRPr="001F1423">
        <w:rPr>
          <w:rFonts w:eastAsiaTheme="minorEastAsia"/>
          <w:szCs w:val="20"/>
        </w:rPr>
        <w:tab/>
      </w:r>
      <w:r w:rsidRPr="001F1423">
        <w:rPr>
          <w:rFonts w:eastAsiaTheme="minorEastAsia"/>
          <w:szCs w:val="20"/>
        </w:rPr>
        <w:tab/>
      </w:r>
      <w:r w:rsidRPr="001F1423">
        <w:rPr>
          <w:rFonts w:eastAsiaTheme="minorEastAsia"/>
          <w:szCs w:val="20"/>
        </w:rPr>
        <w:tab/>
      </w:r>
      <w:r w:rsidRPr="001F1423">
        <w:rPr>
          <w:rFonts w:eastAsiaTheme="minorEastAsia"/>
          <w:szCs w:val="20"/>
        </w:rPr>
        <w:tab/>
      </w:r>
      <w:r w:rsidRPr="001F1423">
        <w:rPr>
          <w:rFonts w:eastAsiaTheme="minorEastAsia"/>
          <w:szCs w:val="20"/>
        </w:rPr>
        <w:tab/>
      </w:r>
      <w:r w:rsidRPr="001F1423">
        <w:rPr>
          <w:rFonts w:eastAsiaTheme="minorEastAsia"/>
          <w:szCs w:val="20"/>
        </w:rPr>
        <w:tab/>
      </w:r>
      <w:r w:rsidRPr="001F1423">
        <w:rPr>
          <w:rFonts w:eastAsiaTheme="minorEastAsia"/>
          <w:szCs w:val="20"/>
        </w:rPr>
        <w:tab/>
      </w:r>
      <w:r w:rsidRPr="001F1423">
        <w:rPr>
          <w:rFonts w:eastAsiaTheme="minorEastAsia"/>
          <w:szCs w:val="20"/>
        </w:rPr>
        <w:tab/>
        <w:t>Resolution No. 5-11-23-2</w:t>
      </w:r>
    </w:p>
    <w:p w14:paraId="03ADF33A" w14:textId="77777777" w:rsidR="006C5B09" w:rsidRPr="00E545E4" w:rsidRDefault="006C5B09" w:rsidP="006C5B09">
      <w:pPr>
        <w:widowControl/>
        <w:autoSpaceDE/>
        <w:adjustRightInd/>
        <w:spacing w:line="276" w:lineRule="auto"/>
        <w:rPr>
          <w:rFonts w:eastAsiaTheme="minorEastAsia"/>
          <w:szCs w:val="20"/>
        </w:rPr>
      </w:pPr>
      <w:r w:rsidRPr="00E545E4">
        <w:rPr>
          <w:rFonts w:eastAsiaTheme="minorEastAsia"/>
          <w:szCs w:val="20"/>
        </w:rPr>
        <w:t xml:space="preserve">TITLE: A RESOLUTION RATIFYING THE ACCEPTANCE OF THE MATERIAL TERMS OF THE TEVA AND ALLERGAN SETTLEMENT AGREEMENTS DATED NOVEMBER 22, 2022; THE CVS AND WALGREENS SETTLEMENT AGREEMENTS DATED DECEMBER 9, 2022; and THE WALMART SETTLEMENT AGREEMENT DATED NOVEMBER 14, 2022 PURSUANT TO THE ONE OHIO MEMORANDUM OF UNDERSTANDING </w:t>
      </w:r>
    </w:p>
    <w:p w14:paraId="4358B510" w14:textId="77777777" w:rsidR="006C5B09" w:rsidRPr="00E545E4" w:rsidRDefault="006C5B09" w:rsidP="006C5B09">
      <w:pPr>
        <w:widowControl/>
        <w:autoSpaceDE/>
        <w:adjustRightInd/>
        <w:spacing w:line="276" w:lineRule="auto"/>
        <w:rPr>
          <w:rFonts w:eastAsiaTheme="minorEastAsia"/>
          <w:szCs w:val="20"/>
        </w:rPr>
      </w:pPr>
    </w:p>
    <w:p w14:paraId="3D26FB1B" w14:textId="77777777" w:rsidR="006C5B09" w:rsidRPr="00E545E4" w:rsidRDefault="006C5B09" w:rsidP="006C5B09">
      <w:pPr>
        <w:widowControl/>
        <w:autoSpaceDE/>
        <w:adjustRightInd/>
        <w:spacing w:line="276" w:lineRule="auto"/>
        <w:rPr>
          <w:rFonts w:eastAsiaTheme="minorEastAsia"/>
          <w:szCs w:val="20"/>
        </w:rPr>
      </w:pPr>
      <w:r w:rsidRPr="00E545E4">
        <w:rPr>
          <w:rFonts w:eastAsiaTheme="minorEastAsia"/>
          <w:szCs w:val="20"/>
        </w:rPr>
        <w:t>DEPARTMENT/AGENCY:  FOUR COUNTY BOARD OF ALCOHOL, DRUG ADDICTION AND MENTAL HEALTH SERVICES</w:t>
      </w:r>
    </w:p>
    <w:p w14:paraId="1B7C21EA" w14:textId="77777777" w:rsidR="006C5B09" w:rsidRPr="00E545E4" w:rsidRDefault="006C5B09" w:rsidP="006C5B09">
      <w:pPr>
        <w:widowControl/>
        <w:autoSpaceDE/>
        <w:adjustRightInd/>
        <w:spacing w:line="276" w:lineRule="auto"/>
        <w:rPr>
          <w:rFonts w:eastAsiaTheme="minorEastAsia"/>
          <w:szCs w:val="20"/>
        </w:rPr>
      </w:pPr>
    </w:p>
    <w:p w14:paraId="042DBF17"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tab/>
        <w:t xml:space="preserve">A RESOLUTION RATIFYING  the CEO’s acceptance of the material terms of the Teva, Allergan, CVS, Walgreens and Walmart Settlement Agreements pursuant to the One Ohio Memorandum of Understanding regarding the pursuit and use of potential opioid litigation settlement funds and consistent with the material terms of the November 22, 2022 Teva and Allergan Settlement Agreements; the December 9, 2022 CVS and Walgreens Settlement Agreements and the November 14, 2022 Walmart Settlement Agreement available at </w:t>
      </w:r>
      <w:hyperlink r:id="rId8" w:history="1">
        <w:r w:rsidRPr="00E545E4">
          <w:rPr>
            <w:rStyle w:val="Hyperlink"/>
            <w:rFonts w:eastAsiaTheme="minorEastAsia"/>
            <w:szCs w:val="20"/>
          </w:rPr>
          <w:t>https://nationalopioidsettlement.com/</w:t>
        </w:r>
      </w:hyperlink>
      <w:r w:rsidRPr="00E545E4">
        <w:rPr>
          <w:rFonts w:eastAsiaTheme="minorEastAsia"/>
          <w:szCs w:val="20"/>
        </w:rPr>
        <w:t xml:space="preserve">.  </w:t>
      </w:r>
    </w:p>
    <w:p w14:paraId="6A0887DB" w14:textId="77777777" w:rsidR="006C5B09" w:rsidRPr="001F1423" w:rsidRDefault="006C5B09" w:rsidP="006C5B09">
      <w:pPr>
        <w:widowControl/>
        <w:autoSpaceDE/>
        <w:adjustRightInd/>
        <w:spacing w:after="200" w:line="360" w:lineRule="auto"/>
        <w:ind w:firstLine="720"/>
        <w:jc w:val="both"/>
        <w:rPr>
          <w:rFonts w:eastAsiaTheme="minorEastAsia"/>
          <w:szCs w:val="20"/>
        </w:rPr>
      </w:pPr>
      <w:r w:rsidRPr="001F1423">
        <w:rPr>
          <w:rFonts w:eastAsiaTheme="minorEastAsia"/>
          <w:szCs w:val="20"/>
        </w:rPr>
        <w:t>WHEREAS, the Four County Board of Alcohol, Drug Addiction, and Mental Health Services  (herein “</w:t>
      </w:r>
      <w:proofErr w:type="spellStart"/>
      <w:r w:rsidRPr="001F1423">
        <w:rPr>
          <w:rFonts w:eastAsiaTheme="minorEastAsia"/>
          <w:szCs w:val="20"/>
        </w:rPr>
        <w:t>ADAMhs</w:t>
      </w:r>
      <w:proofErr w:type="spellEnd"/>
      <w:r w:rsidRPr="001F1423">
        <w:rPr>
          <w:rFonts w:eastAsiaTheme="minorEastAsia"/>
          <w:szCs w:val="20"/>
        </w:rPr>
        <w:t xml:space="preserve"> Board”) is an agency of William County,  Fulton County, Defiance County and Henry County,  counties formed and organized pursuant to the Constitution and laws of the State of Ohio; and</w:t>
      </w:r>
    </w:p>
    <w:p w14:paraId="6450C6BB" w14:textId="77777777" w:rsidR="006C5B09" w:rsidRPr="001F1423" w:rsidRDefault="006C5B09" w:rsidP="006C5B09">
      <w:pPr>
        <w:widowControl/>
        <w:autoSpaceDE/>
        <w:adjustRightInd/>
        <w:spacing w:after="200" w:line="360" w:lineRule="auto"/>
        <w:jc w:val="both"/>
        <w:rPr>
          <w:rFonts w:eastAsiaTheme="minorEastAsia"/>
          <w:szCs w:val="20"/>
        </w:rPr>
      </w:pPr>
      <w:r w:rsidRPr="001F1423">
        <w:rPr>
          <w:rFonts w:eastAsiaTheme="minorEastAsia"/>
          <w:szCs w:val="20"/>
        </w:rPr>
        <w:tab/>
        <w:t>WHEREAS, the people of the State of Ohio and its communities have been harmed by misfeasance, nonfeasance and malfeasance committed by certain entities within the Opioid Pharmaceutical Supply Chain; and</w:t>
      </w:r>
    </w:p>
    <w:p w14:paraId="09E4DC8A" w14:textId="77777777" w:rsidR="006C5B09" w:rsidRPr="001F1423" w:rsidRDefault="006C5B09" w:rsidP="006C5B09">
      <w:pPr>
        <w:widowControl/>
        <w:autoSpaceDE/>
        <w:adjustRightInd/>
        <w:spacing w:after="200" w:line="360" w:lineRule="auto"/>
        <w:jc w:val="both"/>
        <w:rPr>
          <w:rFonts w:eastAsiaTheme="minorEastAsia"/>
          <w:szCs w:val="20"/>
        </w:rPr>
      </w:pPr>
      <w:r w:rsidRPr="001F1423">
        <w:rPr>
          <w:rFonts w:eastAsiaTheme="minorEastAsia"/>
          <w:szCs w:val="20"/>
        </w:rPr>
        <w:tab/>
        <w:t>WHEREAS, the State of Ohio, through its Attorney General, and certain Local Governments and Agencies, through their elected representatives and counsel, are separately engaged in litigation seeking to hold Opioid Pharmaceutical Supply Chain Participants accountable for the damage caused by their misfeasance, nonfeasance and malfeasance; and</w:t>
      </w:r>
    </w:p>
    <w:p w14:paraId="2BED3D20" w14:textId="77777777" w:rsidR="006C5B09" w:rsidRPr="00E545E4" w:rsidRDefault="006C5B09" w:rsidP="006C5B09">
      <w:pPr>
        <w:widowControl/>
        <w:autoSpaceDE/>
        <w:adjustRightInd/>
        <w:spacing w:after="200" w:line="360" w:lineRule="auto"/>
        <w:jc w:val="both"/>
        <w:rPr>
          <w:rFonts w:eastAsiaTheme="minorEastAsia"/>
          <w:szCs w:val="20"/>
        </w:rPr>
      </w:pPr>
      <w:r w:rsidRPr="006C5B09">
        <w:rPr>
          <w:rFonts w:eastAsiaTheme="minorEastAsia"/>
          <w:sz w:val="22"/>
          <w:szCs w:val="22"/>
        </w:rPr>
        <w:tab/>
      </w:r>
      <w:r w:rsidRPr="00E545E4">
        <w:rPr>
          <w:rFonts w:eastAsiaTheme="minorEastAsia"/>
          <w:szCs w:val="20"/>
        </w:rPr>
        <w:t>WHEREAS, the State of Ohio, through its Governor and Attorney General, and its Local Governments and Agencies share a common desire to abate and alleviate the impacts of that misfeasance, nonfeasance and malfeasance throughout the State of Ohio; and</w:t>
      </w:r>
    </w:p>
    <w:p w14:paraId="474EC7CC"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lastRenderedPageBreak/>
        <w:tab/>
        <w:t xml:space="preserve">WHEREAS, the State and its Local Governments and Agencies, and </w:t>
      </w:r>
      <w:proofErr w:type="spellStart"/>
      <w:r w:rsidRPr="00E545E4">
        <w:rPr>
          <w:rFonts w:eastAsiaTheme="minorEastAsia"/>
          <w:szCs w:val="20"/>
        </w:rPr>
        <w:t>ADAMhs</w:t>
      </w:r>
      <w:proofErr w:type="spellEnd"/>
      <w:r w:rsidRPr="00E545E4">
        <w:rPr>
          <w:rFonts w:eastAsiaTheme="minorEastAsia"/>
          <w:szCs w:val="20"/>
        </w:rPr>
        <w:t xml:space="preserve"> have drafted and previously adopted a One Ohio Memorandum of Understanding (“MOU”) relating to the allocation and the use of the proceeds of any potential settlements described; and</w:t>
      </w:r>
    </w:p>
    <w:p w14:paraId="3453A86A"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tab/>
        <w:t>WHEREAS, a settlement proposal is being presented to the State of Ohio, Local Governments and Litigating Agencies by distributor Teva, Allergan, CVS, Walgreens and Walmart to resolve governmental entity claims in the State of Ohio, consistent with the material terms of the November 22, 2022 Teva and Allergan Settlement Agreements; the December 9, 2022 CVS and Walgreens Settlement Agreements and the November 14, 2022 Walmart Settlement Agreement; and</w:t>
      </w:r>
    </w:p>
    <w:p w14:paraId="0870B30B"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tab/>
        <w:t>WHEREAS, the One Ohio MOU would apply to the allocation and the use of proceeds resulting from the Teva, Allergan, CVS, Walgreens and Walmart Settlement Agreements; and</w:t>
      </w:r>
    </w:p>
    <w:p w14:paraId="669159E0"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tab/>
        <w:t xml:space="preserve">WHEREAS, in order to agree to the Teva, Allergan, CVS, Walgreens and Walmart Settlement Agreements, </w:t>
      </w:r>
      <w:proofErr w:type="spellStart"/>
      <w:r w:rsidRPr="00E545E4">
        <w:rPr>
          <w:rFonts w:eastAsiaTheme="minorEastAsia"/>
          <w:szCs w:val="20"/>
        </w:rPr>
        <w:t>ADAMhs</w:t>
      </w:r>
      <w:proofErr w:type="spellEnd"/>
      <w:r w:rsidRPr="00E545E4">
        <w:rPr>
          <w:rFonts w:eastAsiaTheme="minorEastAsia"/>
          <w:szCs w:val="20"/>
        </w:rPr>
        <w:t xml:space="preserve"> must approve execution of the Settlement Participation Forms, attached here as Exhibit A; and </w:t>
      </w:r>
    </w:p>
    <w:p w14:paraId="7131DF02" w14:textId="77777777" w:rsidR="006C5B09" w:rsidRPr="00E545E4" w:rsidRDefault="006C5B09" w:rsidP="006C5B09">
      <w:pPr>
        <w:widowControl/>
        <w:autoSpaceDE/>
        <w:adjustRightInd/>
        <w:spacing w:after="200" w:line="360" w:lineRule="auto"/>
        <w:ind w:firstLine="720"/>
        <w:jc w:val="both"/>
        <w:rPr>
          <w:rFonts w:eastAsiaTheme="minorEastAsia"/>
          <w:szCs w:val="20"/>
        </w:rPr>
      </w:pPr>
      <w:r w:rsidRPr="00E545E4">
        <w:rPr>
          <w:rFonts w:eastAsiaTheme="minorEastAsia"/>
          <w:szCs w:val="20"/>
        </w:rPr>
        <w:t xml:space="preserve">WHEREAS, time is of the essence for acceptance of the Teva, Allergan, CVS, Walgreens and Walmart Settlement Agreements by a certain percentage of the litigating entities to ensure maximum compensation under the terms of the Teva, Allergan, CVS, Walgreens and Walmart Settlement Agreements; and </w:t>
      </w:r>
    </w:p>
    <w:p w14:paraId="21453A80" w14:textId="77777777" w:rsidR="006C5B09" w:rsidRPr="00E545E4" w:rsidRDefault="006C5B09" w:rsidP="006C5B09">
      <w:pPr>
        <w:widowControl/>
        <w:autoSpaceDE/>
        <w:adjustRightInd/>
        <w:spacing w:after="200" w:line="360" w:lineRule="auto"/>
        <w:ind w:firstLine="720"/>
        <w:jc w:val="both"/>
        <w:rPr>
          <w:rFonts w:eastAsiaTheme="minorEastAsia"/>
          <w:szCs w:val="20"/>
        </w:rPr>
      </w:pPr>
      <w:r w:rsidRPr="00E545E4">
        <w:rPr>
          <w:rFonts w:eastAsiaTheme="minorEastAsia"/>
          <w:szCs w:val="20"/>
        </w:rPr>
        <w:t xml:space="preserve">WHEREAS, the Board previously authorized the CEO to take the necessary steps in pursuing litigation involving certain entities within the Opioid Pharmaceutical Supply Chain; and </w:t>
      </w:r>
    </w:p>
    <w:p w14:paraId="77E21431"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tab/>
        <w:t>WHEREAS, Board wishes to accept the material terms of the Teva, Allergan, CVS, Walgreens and Walmart Settlement Agreements.</w:t>
      </w:r>
    </w:p>
    <w:p w14:paraId="372D97E2"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t>NOW THEREFORE, BE IT RESOLVED BY FOUR COUNTY BOARD OF ALCOHOL, DRUG ADDICTION AND MENTAL HEALTH SERVICES</w:t>
      </w:r>
      <w:r w:rsidRPr="00E545E4">
        <w:rPr>
          <w:rFonts w:eastAsiaTheme="minorEastAsia"/>
          <w:caps/>
          <w:szCs w:val="20"/>
        </w:rPr>
        <w:t xml:space="preserve"> of Wiliam, fulton, defiance and henry Counties</w:t>
      </w:r>
      <w:r w:rsidRPr="00E545E4">
        <w:rPr>
          <w:rFonts w:eastAsiaTheme="minorEastAsia"/>
          <w:szCs w:val="20"/>
        </w:rPr>
        <w:t>, OHIO.</w:t>
      </w:r>
    </w:p>
    <w:p w14:paraId="6B288B25" w14:textId="77777777" w:rsidR="006C5B09" w:rsidRPr="00E545E4" w:rsidRDefault="006C5B09" w:rsidP="006C5B09">
      <w:pPr>
        <w:widowControl/>
        <w:autoSpaceDE/>
        <w:adjustRightInd/>
        <w:spacing w:line="276" w:lineRule="auto"/>
        <w:rPr>
          <w:rFonts w:eastAsiaTheme="minorEastAsia"/>
          <w:szCs w:val="20"/>
        </w:rPr>
      </w:pPr>
      <w:r w:rsidRPr="006C5B09">
        <w:rPr>
          <w:rFonts w:eastAsiaTheme="minorEastAsia"/>
          <w:sz w:val="22"/>
          <w:szCs w:val="22"/>
        </w:rPr>
        <w:tab/>
      </w:r>
      <w:r w:rsidRPr="00E545E4">
        <w:rPr>
          <w:rFonts w:eastAsiaTheme="minorEastAsia"/>
          <w:szCs w:val="20"/>
          <w:u w:val="single"/>
        </w:rPr>
        <w:t>Section 1.</w:t>
      </w:r>
      <w:r w:rsidRPr="00E545E4">
        <w:rPr>
          <w:rFonts w:eastAsiaTheme="minorEastAsia"/>
          <w:szCs w:val="20"/>
        </w:rPr>
        <w:tab/>
        <w:t>That Four County Board of Alcohol, Drug Addiction, and Mental Health Services  (herein “</w:t>
      </w:r>
      <w:proofErr w:type="spellStart"/>
      <w:r w:rsidRPr="00E545E4">
        <w:rPr>
          <w:rFonts w:eastAsiaTheme="minorEastAsia"/>
          <w:szCs w:val="20"/>
        </w:rPr>
        <w:t>ADAMhs</w:t>
      </w:r>
      <w:proofErr w:type="spellEnd"/>
      <w:r w:rsidRPr="00E545E4">
        <w:rPr>
          <w:rFonts w:eastAsiaTheme="minorEastAsia"/>
          <w:szCs w:val="20"/>
        </w:rPr>
        <w:t xml:space="preserve"> Board”)  hereby ratifies the acceptance of  the Teva, Allergan, CVS, Walgreens and Walmart Settlement Agreements pursuant to the terms of the One Ohio MOU by the CEO. </w:t>
      </w:r>
    </w:p>
    <w:p w14:paraId="0D6F06AD" w14:textId="77777777" w:rsidR="006C5B09" w:rsidRPr="00E545E4" w:rsidRDefault="006C5B09" w:rsidP="006C5B09">
      <w:pPr>
        <w:widowControl/>
        <w:autoSpaceDE/>
        <w:adjustRightInd/>
        <w:spacing w:line="276" w:lineRule="auto"/>
        <w:rPr>
          <w:rFonts w:eastAsiaTheme="minorEastAsia"/>
          <w:szCs w:val="20"/>
        </w:rPr>
      </w:pPr>
    </w:p>
    <w:p w14:paraId="775FD49D" w14:textId="77777777" w:rsidR="006C5B09" w:rsidRPr="00E545E4" w:rsidRDefault="006C5B09" w:rsidP="006C5B09">
      <w:pPr>
        <w:widowControl/>
        <w:autoSpaceDE/>
        <w:adjustRightInd/>
        <w:spacing w:after="200" w:line="360" w:lineRule="auto"/>
        <w:jc w:val="both"/>
        <w:rPr>
          <w:rFonts w:eastAsiaTheme="minorEastAsia"/>
          <w:szCs w:val="20"/>
        </w:rPr>
      </w:pPr>
      <w:r w:rsidRPr="00E545E4">
        <w:rPr>
          <w:rFonts w:eastAsiaTheme="minorEastAsia"/>
          <w:szCs w:val="20"/>
        </w:rPr>
        <w:tab/>
      </w:r>
      <w:r w:rsidRPr="00E545E4">
        <w:rPr>
          <w:rFonts w:eastAsiaTheme="minorEastAsia"/>
          <w:szCs w:val="20"/>
          <w:u w:val="single"/>
        </w:rPr>
        <w:t>Section 2.</w:t>
      </w:r>
      <w:r w:rsidRPr="00E545E4">
        <w:rPr>
          <w:rFonts w:eastAsiaTheme="minorEastAsia"/>
          <w:szCs w:val="20"/>
        </w:rPr>
        <w:tab/>
        <w:t>That it is found and determined that all formal actions of the Board relating to the adoption of this resolution were adopted in an open meeting of this Board, and that all deliberations of this Board and any of its committees that resulted in such formal action, were in meetings open to the public, in compliance with all legal requirements.</w:t>
      </w:r>
    </w:p>
    <w:p w14:paraId="326C8CF6" w14:textId="6A7C6FD5" w:rsidR="006C5B09" w:rsidRPr="001F1423" w:rsidRDefault="006C5B09" w:rsidP="006C5B09">
      <w:pPr>
        <w:pStyle w:val="Quick1"/>
        <w:numPr>
          <w:ilvl w:val="0"/>
          <w:numId w:val="0"/>
        </w:numPr>
        <w:tabs>
          <w:tab w:val="left" w:pos="-1440"/>
        </w:tabs>
        <w:ind w:left="720" w:hanging="720"/>
        <w:jc w:val="both"/>
        <w:rPr>
          <w:b/>
          <w:szCs w:val="20"/>
        </w:rPr>
      </w:pPr>
      <w:r w:rsidRPr="001F1423">
        <w:rPr>
          <w:b/>
          <w:szCs w:val="20"/>
        </w:rPr>
        <w:t>5-11-23-3 Vote</w:t>
      </w:r>
    </w:p>
    <w:p w14:paraId="09689203" w14:textId="2059BA95" w:rsidR="006C5B09" w:rsidRPr="001F1423" w:rsidRDefault="006C5B09" w:rsidP="006C5B09">
      <w:pPr>
        <w:pStyle w:val="Quick1"/>
        <w:numPr>
          <w:ilvl w:val="0"/>
          <w:numId w:val="0"/>
        </w:numPr>
        <w:tabs>
          <w:tab w:val="left" w:pos="-1440"/>
        </w:tabs>
        <w:ind w:left="720" w:hanging="720"/>
        <w:jc w:val="both"/>
        <w:rPr>
          <w:szCs w:val="20"/>
        </w:rPr>
      </w:pPr>
      <w:r w:rsidRPr="001F1423">
        <w:rPr>
          <w:b/>
          <w:szCs w:val="20"/>
        </w:rPr>
        <w:tab/>
      </w:r>
      <w:r w:rsidRPr="001F1423">
        <w:rPr>
          <w:szCs w:val="20"/>
        </w:rPr>
        <w:t>MOTION:</w:t>
      </w:r>
      <w:r w:rsidR="003B2715">
        <w:rPr>
          <w:szCs w:val="20"/>
        </w:rPr>
        <w:t xml:space="preserve">  Mari Yoder</w:t>
      </w:r>
      <w:r w:rsidR="003B2715">
        <w:rPr>
          <w:szCs w:val="20"/>
        </w:rPr>
        <w:tab/>
      </w:r>
      <w:r w:rsidR="003B2715">
        <w:rPr>
          <w:szCs w:val="20"/>
        </w:rPr>
        <w:tab/>
      </w:r>
      <w:r w:rsidRPr="001F1423">
        <w:rPr>
          <w:szCs w:val="20"/>
        </w:rPr>
        <w:tab/>
        <w:t xml:space="preserve">SECOND:  </w:t>
      </w:r>
      <w:r w:rsidR="003B2715">
        <w:rPr>
          <w:szCs w:val="20"/>
        </w:rPr>
        <w:t>Marcia Mohre</w:t>
      </w:r>
      <w:r w:rsidRPr="001F1423">
        <w:rPr>
          <w:szCs w:val="20"/>
        </w:rPr>
        <w:t xml:space="preserve">  </w:t>
      </w:r>
      <w:r w:rsidRPr="001F1423">
        <w:rPr>
          <w:szCs w:val="20"/>
        </w:rPr>
        <w:tab/>
      </w:r>
    </w:p>
    <w:p w14:paraId="5DE46F1B" w14:textId="77777777" w:rsidR="00E545E4" w:rsidRPr="001F1423" w:rsidRDefault="00E545E4" w:rsidP="006C5B09">
      <w:pPr>
        <w:pStyle w:val="Quick1"/>
        <w:numPr>
          <w:ilvl w:val="0"/>
          <w:numId w:val="0"/>
        </w:numPr>
        <w:tabs>
          <w:tab w:val="left" w:pos="-1440"/>
        </w:tabs>
        <w:ind w:left="720" w:hanging="720"/>
        <w:jc w:val="both"/>
        <w:rPr>
          <w:szCs w:val="20"/>
        </w:rPr>
      </w:pPr>
    </w:p>
    <w:p w14:paraId="54238064" w14:textId="3FA64D69" w:rsidR="006C5B09" w:rsidRPr="001F1423" w:rsidRDefault="006C5B09" w:rsidP="006C5B09">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djustRightInd/>
        <w:spacing w:after="200" w:line="276" w:lineRule="auto"/>
        <w:jc w:val="both"/>
        <w:rPr>
          <w:rFonts w:eastAsiaTheme="minorHAnsi" w:cstheme="minorBidi"/>
          <w:szCs w:val="20"/>
        </w:rPr>
      </w:pPr>
      <w:r w:rsidRPr="001F1423">
        <w:rPr>
          <w:rFonts w:eastAsiaTheme="minorHAnsi" w:cstheme="minorBidi"/>
          <w:b/>
          <w:szCs w:val="20"/>
        </w:rPr>
        <w:t>Action Taken:</w:t>
      </w:r>
    </w:p>
    <w:p w14:paraId="71015A10" w14:textId="3F56CD1B" w:rsidR="006C5B09" w:rsidRPr="001F1423" w:rsidRDefault="006C5B09" w:rsidP="006C5B09">
      <w:pPr>
        <w:pStyle w:val="Quick1"/>
        <w:numPr>
          <w:ilvl w:val="0"/>
          <w:numId w:val="0"/>
        </w:numPr>
        <w:tabs>
          <w:tab w:val="left" w:pos="-1440"/>
        </w:tabs>
        <w:ind w:left="720"/>
        <w:jc w:val="both"/>
        <w:rPr>
          <w:szCs w:val="20"/>
        </w:rPr>
      </w:pPr>
      <w:r w:rsidRPr="001F1423">
        <w:rPr>
          <w:szCs w:val="20"/>
        </w:rPr>
        <w:t xml:space="preserve">Karen Bleeks, yes; Sandy Herman, yes; Tod Hug, yes; Jeff Mayer, yes; Roy Miller, yes; Marcia Mohre, </w:t>
      </w:r>
      <w:r w:rsidR="003B2715">
        <w:rPr>
          <w:szCs w:val="20"/>
        </w:rPr>
        <w:t>yes</w:t>
      </w:r>
      <w:r w:rsidRPr="001F1423">
        <w:rPr>
          <w:szCs w:val="20"/>
        </w:rPr>
        <w:t xml:space="preserve">; John Nye, yes; Dr. Richter, absent; Cindy Rose, yes; Michelle Oyer-Rose, </w:t>
      </w:r>
      <w:r w:rsidR="003B2715">
        <w:rPr>
          <w:szCs w:val="20"/>
        </w:rPr>
        <w:t>absent</w:t>
      </w:r>
      <w:r w:rsidRPr="001F1423">
        <w:rPr>
          <w:szCs w:val="20"/>
        </w:rPr>
        <w:t>; Stephen Seagrave, absent; Wayne Smith, yes; Scott Stiriz, yes; Sandra Weirauch, yes; Mari Yoder, yes.</w:t>
      </w:r>
    </w:p>
    <w:p w14:paraId="13E1761A" w14:textId="3BF078E2" w:rsidR="006C5B09" w:rsidRDefault="006C5B09" w:rsidP="001F1423">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djustRightInd/>
        <w:spacing w:line="276" w:lineRule="auto"/>
        <w:jc w:val="both"/>
        <w:rPr>
          <w:rFonts w:eastAsiaTheme="minorHAnsi" w:cstheme="minorBidi"/>
          <w:sz w:val="18"/>
          <w:szCs w:val="18"/>
        </w:rPr>
      </w:pPr>
      <w:r w:rsidRPr="001F1423">
        <w:rPr>
          <w:rFonts w:eastAsiaTheme="minorHAnsi" w:cstheme="minorBidi"/>
          <w:sz w:val="18"/>
          <w:szCs w:val="18"/>
        </w:rPr>
        <w:t xml:space="preserve"> </w:t>
      </w:r>
      <w:r w:rsidRPr="001F1423">
        <w:rPr>
          <w:rFonts w:eastAsiaTheme="minorHAnsi" w:cstheme="minorBidi"/>
          <w:sz w:val="18"/>
          <w:szCs w:val="18"/>
        </w:rPr>
        <w:tab/>
      </w:r>
      <w:r w:rsidR="003B2715">
        <w:rPr>
          <w:szCs w:val="20"/>
        </w:rPr>
        <w:t>Roll Call: 12 yes, 0 no</w:t>
      </w:r>
      <w:r w:rsidRPr="001F1423">
        <w:rPr>
          <w:rFonts w:eastAsiaTheme="minorHAnsi" w:cstheme="minorBidi"/>
          <w:sz w:val="18"/>
          <w:szCs w:val="18"/>
        </w:rPr>
        <w:tab/>
      </w:r>
      <w:r w:rsidRPr="001F1423">
        <w:rPr>
          <w:rFonts w:eastAsiaTheme="minorHAnsi" w:cstheme="minorBidi"/>
          <w:sz w:val="18"/>
          <w:szCs w:val="18"/>
        </w:rPr>
        <w:tab/>
      </w:r>
      <w:r w:rsidRPr="001F1423">
        <w:rPr>
          <w:rFonts w:eastAsiaTheme="minorHAnsi" w:cstheme="minorBidi"/>
          <w:sz w:val="18"/>
          <w:szCs w:val="18"/>
        </w:rPr>
        <w:tab/>
        <w:t>MOTION PASSED</w:t>
      </w:r>
    </w:p>
    <w:p w14:paraId="4A810736" w14:textId="77777777" w:rsidR="001F1423" w:rsidRDefault="001F1423" w:rsidP="001F1423">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djustRightInd/>
        <w:spacing w:line="276" w:lineRule="auto"/>
        <w:jc w:val="both"/>
        <w:rPr>
          <w:rFonts w:eastAsiaTheme="minorHAnsi" w:cstheme="minorBidi"/>
          <w:sz w:val="18"/>
          <w:szCs w:val="18"/>
        </w:rPr>
      </w:pPr>
    </w:p>
    <w:p w14:paraId="29423CEC" w14:textId="77777777" w:rsidR="001F1423" w:rsidRPr="001F1423" w:rsidRDefault="001F1423" w:rsidP="001F1423">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djustRightInd/>
        <w:spacing w:line="276" w:lineRule="auto"/>
        <w:jc w:val="both"/>
        <w:rPr>
          <w:rFonts w:eastAsiaTheme="minorHAnsi" w:cstheme="minorBidi"/>
          <w:sz w:val="18"/>
          <w:szCs w:val="18"/>
        </w:rPr>
      </w:pPr>
    </w:p>
    <w:p w14:paraId="1121CD40" w14:textId="77777777" w:rsidR="005C4F8B" w:rsidRPr="00FE166B" w:rsidRDefault="00BD23DB" w:rsidP="00B13C6F">
      <w:pPr>
        <w:pStyle w:val="Quick1"/>
        <w:numPr>
          <w:ilvl w:val="0"/>
          <w:numId w:val="0"/>
        </w:numPr>
        <w:tabs>
          <w:tab w:val="left" w:pos="-1440"/>
        </w:tabs>
        <w:jc w:val="both"/>
        <w:rPr>
          <w:sz w:val="22"/>
          <w:szCs w:val="22"/>
        </w:rPr>
      </w:pPr>
      <w:r>
        <w:rPr>
          <w:sz w:val="22"/>
          <w:szCs w:val="22"/>
        </w:rPr>
        <w:lastRenderedPageBreak/>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8CBC539" w14:textId="77777777" w:rsidR="00193BF4" w:rsidRPr="000B1AD8" w:rsidRDefault="00193BF4" w:rsidP="005F73A3">
      <w:pPr>
        <w:jc w:val="both"/>
        <w:rPr>
          <w:sz w:val="16"/>
          <w:szCs w:val="16"/>
        </w:rPr>
      </w:pPr>
    </w:p>
    <w:p w14:paraId="1C5A05A8" w14:textId="60C17355" w:rsidR="00995105" w:rsidRDefault="00995105" w:rsidP="00BD23DB">
      <w:pPr>
        <w:pStyle w:val="ListParagraph"/>
        <w:numPr>
          <w:ilvl w:val="0"/>
          <w:numId w:val="29"/>
        </w:numPr>
        <w:ind w:left="1080"/>
        <w:jc w:val="both"/>
      </w:pPr>
      <w:r>
        <w:t xml:space="preserve">To authorize payment of the itemized list of bills as presented to the Board at the </w:t>
      </w:r>
      <w:r w:rsidR="00BB1CBA">
        <w:t>May 1</w:t>
      </w:r>
      <w:r w:rsidR="008557B3">
        <w:t>1</w:t>
      </w:r>
      <w:r>
        <w:t>, 20</w:t>
      </w:r>
      <w:r w:rsidR="00DD6F2E">
        <w:t>2</w:t>
      </w:r>
      <w:r w:rsidR="008557B3">
        <w:t>3</w:t>
      </w:r>
      <w:r>
        <w:t xml:space="preserve"> board meeting under the provision of Then and Now Certificates.  </w:t>
      </w:r>
      <w:r w:rsidRPr="00BD23DB">
        <w:rPr>
          <w:i/>
          <w:sz w:val="18"/>
          <w:szCs w:val="18"/>
        </w:rPr>
        <w:t>(A copy of the list follows the meeting minutes.)</w:t>
      </w:r>
      <w:r>
        <w:t xml:space="preserve"> </w:t>
      </w:r>
    </w:p>
    <w:p w14:paraId="3E2C932B" w14:textId="680B4C06" w:rsidR="004F4B7B" w:rsidRDefault="004F4B7B" w:rsidP="004F4B7B">
      <w:pPr>
        <w:pStyle w:val="ListParagraph"/>
        <w:numPr>
          <w:ilvl w:val="0"/>
          <w:numId w:val="29"/>
        </w:numPr>
        <w:ind w:left="1080"/>
        <w:jc w:val="both"/>
      </w:pPr>
      <w:r>
        <w:t>To authorize the CEO to contract with Northwest Ohio Educational Service Center to provide school navigation services for an amount not to exceed $</w:t>
      </w:r>
      <w:r w:rsidR="008F755E">
        <w:t>80</w:t>
      </w:r>
      <w:r>
        <w:t>,000.00</w:t>
      </w:r>
      <w:r w:rsidR="008F755E">
        <w:t>.  This shall be</w:t>
      </w:r>
      <w:r>
        <w:t xml:space="preserve"> for the period July 1, 202</w:t>
      </w:r>
      <w:r w:rsidR="008557B3">
        <w:t>3</w:t>
      </w:r>
      <w:r>
        <w:t xml:space="preserve"> through June 30, 202</w:t>
      </w:r>
      <w:r w:rsidR="008557B3">
        <w:t>4</w:t>
      </w:r>
      <w:r>
        <w:t>.</w:t>
      </w:r>
    </w:p>
    <w:p w14:paraId="406F5764" w14:textId="0A071C63" w:rsidR="004F4B7B" w:rsidRPr="004F4B7B" w:rsidRDefault="004F4B7B" w:rsidP="004F4B7B">
      <w:pPr>
        <w:pStyle w:val="ListParagraph"/>
        <w:numPr>
          <w:ilvl w:val="0"/>
          <w:numId w:val="29"/>
        </w:numPr>
        <w:ind w:left="1080"/>
        <w:jc w:val="both"/>
      </w:pPr>
      <w:r w:rsidRPr="004F4B7B">
        <w:t>To authorize the Board CEO to sign a contract with Recovery Services of Northwest Ohio, upon receipt of official written Notice of Award, for Women’s Treatment Grant services in an amount not to exceed $205,000 for the period of July 1, 202</w:t>
      </w:r>
      <w:r w:rsidR="008557B3">
        <w:t>3</w:t>
      </w:r>
      <w:r w:rsidRPr="004F4B7B">
        <w:t xml:space="preserve"> through June 30, 202</w:t>
      </w:r>
      <w:r w:rsidR="008557B3">
        <w:t>4</w:t>
      </w:r>
      <w:r w:rsidRPr="004F4B7B">
        <w:t>.</w:t>
      </w:r>
    </w:p>
    <w:p w14:paraId="54EEBBE9" w14:textId="3A02ED88" w:rsidR="004F4B7B" w:rsidRPr="004F4B7B" w:rsidRDefault="004F4B7B" w:rsidP="004F4B7B">
      <w:pPr>
        <w:pStyle w:val="ListParagraph"/>
        <w:numPr>
          <w:ilvl w:val="0"/>
          <w:numId w:val="29"/>
        </w:numPr>
        <w:ind w:left="1080"/>
        <w:jc w:val="both"/>
      </w:pPr>
      <w:r w:rsidRPr="004F4B7B">
        <w:t>To authorize the Board CEO to provide an amount not to exceed $</w:t>
      </w:r>
      <w:r w:rsidR="008F755E">
        <w:t>12</w:t>
      </w:r>
      <w:r w:rsidRPr="004F4B7B">
        <w:t xml:space="preserve">,000 to the </w:t>
      </w:r>
      <w:r w:rsidR="008F755E">
        <w:t>Williams</w:t>
      </w:r>
      <w:r w:rsidRPr="004F4B7B">
        <w:t xml:space="preserve"> County Common Pleas Court for the purpose of Parent Coordination program.  This is for the time period July 1, 202</w:t>
      </w:r>
      <w:r w:rsidR="008557B3">
        <w:t>3</w:t>
      </w:r>
      <w:r w:rsidRPr="004F4B7B">
        <w:t xml:space="preserve"> through June 30, 202</w:t>
      </w:r>
      <w:r w:rsidR="008557B3">
        <w:t>4</w:t>
      </w:r>
      <w:r w:rsidRPr="004F4B7B">
        <w:t xml:space="preserve">.  </w:t>
      </w:r>
    </w:p>
    <w:p w14:paraId="136732DB" w14:textId="73BA8064" w:rsidR="00411693" w:rsidRDefault="00411693" w:rsidP="00411693">
      <w:pPr>
        <w:pStyle w:val="BodyText"/>
        <w:numPr>
          <w:ilvl w:val="0"/>
          <w:numId w:val="29"/>
        </w:numPr>
        <w:spacing w:after="0"/>
        <w:ind w:left="1080"/>
        <w:jc w:val="both"/>
      </w:pPr>
      <w:r w:rsidRPr="009779C3">
        <w:t>To provide an amount not to exceed $15,000 for support of Pillars of Success</w:t>
      </w:r>
      <w:r>
        <w:t xml:space="preserve"> for the period July 1, 202</w:t>
      </w:r>
      <w:r w:rsidR="008557B3">
        <w:t>3</w:t>
      </w:r>
      <w:r>
        <w:t xml:space="preserve"> through June 30, 202</w:t>
      </w:r>
      <w:r w:rsidR="008557B3">
        <w:t>4</w:t>
      </w:r>
      <w:r>
        <w:t>.</w:t>
      </w:r>
      <w:r>
        <w:rPr>
          <w:b/>
        </w:rPr>
        <w:t xml:space="preserve"> </w:t>
      </w:r>
    </w:p>
    <w:p w14:paraId="745110D9" w14:textId="0EA8527E" w:rsidR="00411693" w:rsidRPr="00411693" w:rsidRDefault="00411693" w:rsidP="00411693">
      <w:pPr>
        <w:pStyle w:val="ListParagraph"/>
        <w:numPr>
          <w:ilvl w:val="0"/>
          <w:numId w:val="29"/>
        </w:numPr>
        <w:ind w:left="1080"/>
        <w:jc w:val="both"/>
        <w:rPr>
          <w:szCs w:val="20"/>
        </w:rPr>
      </w:pPr>
      <w:r w:rsidRPr="00411693">
        <w:rPr>
          <w:szCs w:val="20"/>
        </w:rPr>
        <w:t>To authorize the Board CEO to enter into shared payment agreements for placement costs of multi needs adolescents.  The amount shall not exceed $110,000 for the period July 1, 202</w:t>
      </w:r>
      <w:r w:rsidR="008557B3">
        <w:rPr>
          <w:szCs w:val="20"/>
        </w:rPr>
        <w:t>3</w:t>
      </w:r>
      <w:r w:rsidRPr="00411693">
        <w:rPr>
          <w:szCs w:val="20"/>
        </w:rPr>
        <w:t xml:space="preserve"> to June 30, 202</w:t>
      </w:r>
      <w:r w:rsidR="008557B3">
        <w:rPr>
          <w:szCs w:val="20"/>
        </w:rPr>
        <w:t>4</w:t>
      </w:r>
      <w:r w:rsidRPr="00411693">
        <w:rPr>
          <w:szCs w:val="20"/>
        </w:rPr>
        <w:t>.</w:t>
      </w:r>
    </w:p>
    <w:p w14:paraId="4AD23A5B" w14:textId="355EFB7B" w:rsidR="00411693" w:rsidRDefault="00411693" w:rsidP="00411693">
      <w:pPr>
        <w:pStyle w:val="ListParagraph"/>
        <w:numPr>
          <w:ilvl w:val="0"/>
          <w:numId w:val="29"/>
        </w:numPr>
        <w:ind w:left="1080"/>
        <w:jc w:val="both"/>
      </w:pPr>
      <w:r>
        <w:t>To authorize the CEO to contract with SARAH’s House for an amount not to exceed $15,000 for the period July 1, 202</w:t>
      </w:r>
      <w:r w:rsidR="008557B3">
        <w:t>3</w:t>
      </w:r>
      <w:r>
        <w:t xml:space="preserve"> through June 30, 202</w:t>
      </w:r>
      <w:r w:rsidR="008557B3">
        <w:t>4</w:t>
      </w:r>
      <w:r>
        <w:t>.</w:t>
      </w:r>
    </w:p>
    <w:p w14:paraId="6A2C20B3" w14:textId="0EE5895A" w:rsidR="00411693" w:rsidRDefault="00411693" w:rsidP="00411693">
      <w:pPr>
        <w:pStyle w:val="BodyText"/>
        <w:numPr>
          <w:ilvl w:val="0"/>
          <w:numId w:val="29"/>
        </w:numPr>
        <w:ind w:left="1080"/>
        <w:jc w:val="both"/>
      </w:pPr>
      <w:r w:rsidRPr="00411693">
        <w:t>To authorize the CEO to contract with Jammie Richmond for the period July 1, 202</w:t>
      </w:r>
      <w:r w:rsidR="008557B3">
        <w:t>3</w:t>
      </w:r>
      <w:r w:rsidRPr="00411693">
        <w:t xml:space="preserve"> through June 30, 202</w:t>
      </w:r>
      <w:r w:rsidR="008557B3">
        <w:t>4</w:t>
      </w:r>
      <w:r w:rsidRPr="00411693">
        <w:t xml:space="preserve"> as consumer advocate/support group lead</w:t>
      </w:r>
      <w:r w:rsidRPr="00411693">
        <w:softHyphen/>
        <w:t>er with the contract not to exceed $2,500 (or at the rate of $1</w:t>
      </w:r>
      <w:r w:rsidR="009308A8">
        <w:t>8</w:t>
      </w:r>
      <w:r w:rsidRPr="00411693">
        <w:t xml:space="preserve"> an hour), an amount that includes reimbursement for travel, meetings and other expenses directly related to the work assignments for the Four County </w:t>
      </w:r>
      <w:proofErr w:type="spellStart"/>
      <w:r w:rsidRPr="00411693">
        <w:t>ADAMhs</w:t>
      </w:r>
      <w:proofErr w:type="spellEnd"/>
      <w:r w:rsidRPr="00411693">
        <w:t xml:space="preserve"> Board.</w:t>
      </w:r>
    </w:p>
    <w:p w14:paraId="6C8CCF2C" w14:textId="77777777" w:rsidR="00812949" w:rsidRPr="00812949" w:rsidRDefault="00812949" w:rsidP="00812949">
      <w:pPr>
        <w:pStyle w:val="ListParagraph"/>
        <w:numPr>
          <w:ilvl w:val="0"/>
          <w:numId w:val="29"/>
        </w:numPr>
        <w:ind w:left="1080"/>
        <w:jc w:val="both"/>
      </w:pPr>
      <w:r w:rsidRPr="00812949">
        <w:t>To authorize the Board CEO to sign an amendment to the FY2023 contract with The Center for Child/Family Advocacy for an amount not to exceed $25,000 for the period July 1, 2022 through June 30, 2023.</w:t>
      </w:r>
    </w:p>
    <w:p w14:paraId="54605EB6" w14:textId="77777777" w:rsidR="00641F6B" w:rsidRPr="00673317" w:rsidRDefault="00641F6B" w:rsidP="00641F6B">
      <w:pPr>
        <w:pStyle w:val="ListParagraph"/>
        <w:numPr>
          <w:ilvl w:val="0"/>
          <w:numId w:val="29"/>
        </w:numPr>
        <w:ind w:left="1080"/>
        <w:jc w:val="both"/>
      </w:pPr>
      <w:r w:rsidRPr="00673317">
        <w:t xml:space="preserve">To </w:t>
      </w:r>
      <w:r>
        <w:t>authorize the CEO to sign an amendment to the SFY 2023 contract with Maumee Valley Guidance Center for an amount not to exceed $10,000 for the period July 1, 2022 through June 30, 2023.</w:t>
      </w:r>
    </w:p>
    <w:p w14:paraId="0F55A24B" w14:textId="77777777" w:rsidR="00881280" w:rsidRPr="00756857" w:rsidRDefault="000F497B" w:rsidP="00411693">
      <w:pPr>
        <w:pStyle w:val="Quick1"/>
        <w:numPr>
          <w:ilvl w:val="0"/>
          <w:numId w:val="0"/>
        </w:numPr>
        <w:tabs>
          <w:tab w:val="left" w:pos="-1440"/>
        </w:tabs>
        <w:jc w:val="both"/>
        <w:rPr>
          <w:b/>
          <w:sz w:val="16"/>
          <w:szCs w:val="16"/>
        </w:rPr>
      </w:pPr>
      <w:r w:rsidRPr="00756857">
        <w:rPr>
          <w:b/>
          <w:sz w:val="16"/>
          <w:szCs w:val="16"/>
        </w:rPr>
        <w:tab/>
      </w:r>
    </w:p>
    <w:p w14:paraId="633FC2ED" w14:textId="6BE65ADF" w:rsidR="009921E9" w:rsidRPr="005B0720" w:rsidRDefault="00881280" w:rsidP="005F73A3">
      <w:pPr>
        <w:pStyle w:val="Quick1"/>
        <w:numPr>
          <w:ilvl w:val="0"/>
          <w:numId w:val="0"/>
        </w:numPr>
        <w:tabs>
          <w:tab w:val="left" w:pos="-1440"/>
        </w:tabs>
        <w:ind w:left="720" w:hanging="720"/>
        <w:jc w:val="both"/>
        <w:rPr>
          <w:b/>
          <w:szCs w:val="20"/>
        </w:rPr>
      </w:pPr>
      <w:r>
        <w:rPr>
          <w:b/>
          <w:sz w:val="22"/>
          <w:szCs w:val="22"/>
        </w:rPr>
        <w:tab/>
      </w:r>
      <w:r w:rsidR="008557B3">
        <w:rPr>
          <w:b/>
          <w:szCs w:val="20"/>
        </w:rPr>
        <w:t>5-11-23</w:t>
      </w:r>
      <w:r w:rsidR="009921E9" w:rsidRPr="005B0720">
        <w:rPr>
          <w:b/>
          <w:szCs w:val="20"/>
        </w:rPr>
        <w:t>-</w:t>
      </w:r>
      <w:r w:rsidR="006C5B09">
        <w:rPr>
          <w:b/>
          <w:szCs w:val="20"/>
        </w:rPr>
        <w:t>4</w:t>
      </w:r>
      <w:r w:rsidR="009921E9" w:rsidRPr="005B0720">
        <w:rPr>
          <w:b/>
          <w:szCs w:val="20"/>
        </w:rPr>
        <w:t xml:space="preserve"> Vote</w:t>
      </w:r>
    </w:p>
    <w:p w14:paraId="2025FA55" w14:textId="5F24A403" w:rsidR="009921E9" w:rsidRPr="005B0720" w:rsidRDefault="009921E9" w:rsidP="005F73A3">
      <w:pPr>
        <w:pStyle w:val="Quick1"/>
        <w:numPr>
          <w:ilvl w:val="0"/>
          <w:numId w:val="0"/>
        </w:numPr>
        <w:tabs>
          <w:tab w:val="left" w:pos="-1440"/>
        </w:tabs>
        <w:ind w:left="720" w:hanging="720"/>
        <w:jc w:val="both"/>
        <w:rPr>
          <w:szCs w:val="20"/>
        </w:rPr>
      </w:pPr>
      <w:r w:rsidRPr="005B0720">
        <w:rPr>
          <w:szCs w:val="20"/>
        </w:rPr>
        <w:tab/>
        <w:t>MOTION:</w:t>
      </w:r>
      <w:r w:rsidR="003B2715">
        <w:rPr>
          <w:szCs w:val="20"/>
        </w:rPr>
        <w:t xml:space="preserve">  Wayne Smith</w:t>
      </w:r>
      <w:r w:rsidR="00861122">
        <w:rPr>
          <w:szCs w:val="20"/>
        </w:rPr>
        <w:tab/>
      </w:r>
      <w:r w:rsidR="00315C4A" w:rsidRPr="005B0720">
        <w:rPr>
          <w:szCs w:val="20"/>
        </w:rPr>
        <w:tab/>
      </w:r>
      <w:r w:rsidR="0035554A" w:rsidRPr="005B0720">
        <w:rPr>
          <w:szCs w:val="20"/>
        </w:rPr>
        <w:tab/>
      </w:r>
      <w:r w:rsidRPr="005B0720">
        <w:rPr>
          <w:szCs w:val="20"/>
        </w:rPr>
        <w:t>SECOND:</w:t>
      </w:r>
      <w:r w:rsidR="003B2715">
        <w:rPr>
          <w:szCs w:val="20"/>
        </w:rPr>
        <w:t xml:space="preserve">  Tod Hug</w:t>
      </w:r>
      <w:r w:rsidR="00645C19" w:rsidRPr="005B0720">
        <w:rPr>
          <w:szCs w:val="20"/>
        </w:rPr>
        <w:tab/>
      </w:r>
      <w:r w:rsidR="00D12546" w:rsidRPr="005B0720">
        <w:rPr>
          <w:szCs w:val="20"/>
        </w:rPr>
        <w:tab/>
      </w:r>
      <w:r w:rsidRPr="005B0720">
        <w:rPr>
          <w:szCs w:val="20"/>
        </w:rPr>
        <w:t>MOTION PASSED</w:t>
      </w:r>
    </w:p>
    <w:p w14:paraId="6C01487F" w14:textId="77777777" w:rsidR="002C402A" w:rsidRPr="00326B51" w:rsidRDefault="002C402A" w:rsidP="00AE0A0F">
      <w:pPr>
        <w:pStyle w:val="Quick1"/>
        <w:numPr>
          <w:ilvl w:val="0"/>
          <w:numId w:val="0"/>
        </w:numPr>
        <w:tabs>
          <w:tab w:val="left" w:pos="-1440"/>
        </w:tabs>
        <w:jc w:val="both"/>
        <w:rPr>
          <w:b/>
          <w:szCs w:val="20"/>
        </w:rPr>
      </w:pPr>
    </w:p>
    <w:p w14:paraId="08472421" w14:textId="77777777" w:rsidR="009921E9" w:rsidRDefault="00AE0A0F"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2C41C05C" w14:textId="77777777" w:rsidR="00D7099B" w:rsidRPr="000B1AD8" w:rsidRDefault="00D7099B" w:rsidP="005F73A3">
      <w:pPr>
        <w:tabs>
          <w:tab w:val="left" w:pos="-1440"/>
        </w:tabs>
        <w:ind w:left="720" w:hanging="720"/>
        <w:jc w:val="both"/>
        <w:rPr>
          <w:b/>
          <w:sz w:val="16"/>
          <w:szCs w:val="16"/>
        </w:rPr>
      </w:pPr>
    </w:p>
    <w:p w14:paraId="717D5000" w14:textId="0A2A9913" w:rsidR="001D0362" w:rsidRPr="00D62C1B" w:rsidRDefault="00C52185" w:rsidP="00BB1CBA">
      <w:pPr>
        <w:pStyle w:val="ListParagraph"/>
        <w:widowControl/>
        <w:numPr>
          <w:ilvl w:val="0"/>
          <w:numId w:val="31"/>
        </w:numPr>
        <w:tabs>
          <w:tab w:val="left" w:pos="-1440"/>
          <w:tab w:val="left" w:pos="1170"/>
        </w:tabs>
        <w:overflowPunct w:val="0"/>
        <w:ind w:left="1170" w:hanging="450"/>
        <w:jc w:val="both"/>
        <w:textAlignment w:val="baseline"/>
        <w:rPr>
          <w:i/>
          <w:sz w:val="22"/>
          <w:szCs w:val="22"/>
        </w:rPr>
      </w:pPr>
      <w:r>
        <w:rPr>
          <w:szCs w:val="20"/>
        </w:rPr>
        <w:t>Officer nominations were tabled until the next Board meeting.</w:t>
      </w:r>
    </w:p>
    <w:p w14:paraId="15EF67D6" w14:textId="7DE6D990" w:rsidR="00B96D65" w:rsidRPr="00C52185" w:rsidRDefault="00D62C1B" w:rsidP="008557B3">
      <w:pPr>
        <w:pStyle w:val="ListParagraph"/>
        <w:widowControl/>
        <w:numPr>
          <w:ilvl w:val="0"/>
          <w:numId w:val="31"/>
        </w:numPr>
        <w:overflowPunct w:val="0"/>
        <w:ind w:left="1170" w:hanging="450"/>
        <w:jc w:val="both"/>
        <w:textAlignment w:val="baseline"/>
        <w:rPr>
          <w:sz w:val="22"/>
          <w:szCs w:val="22"/>
        </w:rPr>
      </w:pPr>
      <w:r w:rsidRPr="008557B3">
        <w:rPr>
          <w:szCs w:val="20"/>
        </w:rPr>
        <w:t xml:space="preserve">Sandy Herman reported that evaluation of the CEO is complete.  </w:t>
      </w:r>
    </w:p>
    <w:p w14:paraId="51A8D22A" w14:textId="77777777" w:rsidR="00C52185" w:rsidRPr="008557B3" w:rsidRDefault="00C52185" w:rsidP="00C52185">
      <w:pPr>
        <w:pStyle w:val="ListParagraph"/>
        <w:widowControl/>
        <w:overflowPunct w:val="0"/>
        <w:ind w:left="1170"/>
        <w:jc w:val="both"/>
        <w:textAlignment w:val="baseline"/>
        <w:rPr>
          <w:sz w:val="22"/>
          <w:szCs w:val="22"/>
        </w:rPr>
      </w:pPr>
    </w:p>
    <w:p w14:paraId="40C99D2C" w14:textId="472C9F7D" w:rsidR="00326B51" w:rsidRDefault="00AE0A0F" w:rsidP="00D25199">
      <w:pPr>
        <w:pStyle w:val="ListParagraph"/>
        <w:widowControl/>
        <w:overflowPunct w:val="0"/>
        <w:ind w:hanging="720"/>
        <w:jc w:val="both"/>
        <w:textAlignment w:val="baseline"/>
        <w:rPr>
          <w:sz w:val="22"/>
          <w:szCs w:val="22"/>
        </w:rPr>
      </w:pPr>
      <w:r>
        <w:rPr>
          <w:sz w:val="22"/>
          <w:szCs w:val="22"/>
        </w:rPr>
        <w:t>8</w:t>
      </w:r>
      <w:r w:rsidR="002C402A">
        <w:rPr>
          <w:sz w:val="22"/>
          <w:szCs w:val="22"/>
        </w:rPr>
        <w:t>.</w:t>
      </w:r>
      <w:r w:rsidR="002C402A">
        <w:rPr>
          <w:sz w:val="22"/>
          <w:szCs w:val="22"/>
        </w:rPr>
        <w:tab/>
      </w:r>
      <w:r w:rsidR="00326B51" w:rsidRPr="002C402A">
        <w:rPr>
          <w:sz w:val="22"/>
          <w:szCs w:val="22"/>
        </w:rPr>
        <w:t>Executive Session</w:t>
      </w:r>
    </w:p>
    <w:p w14:paraId="119F69AB" w14:textId="77777777" w:rsidR="00D25199" w:rsidRDefault="00D25199" w:rsidP="00D25199">
      <w:pPr>
        <w:pStyle w:val="ListParagraph"/>
        <w:widowControl/>
        <w:overflowPunct w:val="0"/>
        <w:ind w:hanging="720"/>
        <w:jc w:val="both"/>
        <w:textAlignment w:val="baseline"/>
        <w:rPr>
          <w:sz w:val="22"/>
          <w:szCs w:val="22"/>
        </w:rPr>
      </w:pPr>
    </w:p>
    <w:p w14:paraId="2BA57FF1" w14:textId="2765C223" w:rsidR="00D25199" w:rsidRDefault="00D25199" w:rsidP="00D25199">
      <w:pPr>
        <w:pStyle w:val="ListParagraph"/>
        <w:widowControl/>
        <w:overflowPunct w:val="0"/>
        <w:ind w:hanging="720"/>
        <w:jc w:val="both"/>
        <w:textAlignment w:val="baseline"/>
        <w:rPr>
          <w:sz w:val="22"/>
          <w:szCs w:val="22"/>
        </w:rPr>
      </w:pPr>
      <w:r>
        <w:rPr>
          <w:sz w:val="22"/>
          <w:szCs w:val="22"/>
        </w:rPr>
        <w:tab/>
        <w:t>No executive session was needed.</w:t>
      </w:r>
    </w:p>
    <w:p w14:paraId="072A0A95" w14:textId="528A3AE6" w:rsidR="00D25199" w:rsidRDefault="00D62C1B" w:rsidP="00D25199">
      <w:pPr>
        <w:pStyle w:val="ListParagraph"/>
        <w:widowControl/>
        <w:overflowPunct w:val="0"/>
        <w:ind w:hanging="720"/>
        <w:jc w:val="both"/>
        <w:textAlignment w:val="baseline"/>
        <w:rPr>
          <w:sz w:val="22"/>
          <w:szCs w:val="22"/>
        </w:rPr>
      </w:pPr>
      <w:r>
        <w:rPr>
          <w:sz w:val="22"/>
          <w:szCs w:val="22"/>
        </w:rPr>
        <w:tab/>
      </w:r>
    </w:p>
    <w:p w14:paraId="72E4BB49" w14:textId="77777777" w:rsidR="00213A18" w:rsidRPr="00FE166B" w:rsidRDefault="00AE0A0F" w:rsidP="00C806BA">
      <w:pPr>
        <w:widowControl/>
        <w:overflowPunct w:val="0"/>
        <w:jc w:val="both"/>
        <w:textAlignment w:val="baseline"/>
        <w:rPr>
          <w:sz w:val="22"/>
          <w:szCs w:val="22"/>
        </w:rPr>
      </w:pPr>
      <w:r>
        <w:rPr>
          <w:sz w:val="22"/>
          <w:szCs w:val="22"/>
        </w:rPr>
        <w:t xml:space="preserve"> 9</w:t>
      </w:r>
      <w:r w:rsidR="001D0362">
        <w:rPr>
          <w:sz w:val="22"/>
          <w:szCs w:val="22"/>
        </w:rPr>
        <w:t>.</w:t>
      </w:r>
      <w:r w:rsidR="001D0362">
        <w:rPr>
          <w:sz w:val="22"/>
          <w:szCs w:val="22"/>
        </w:rPr>
        <w:tab/>
      </w:r>
      <w:r w:rsidR="007C4B48">
        <w:rPr>
          <w:sz w:val="22"/>
          <w:szCs w:val="22"/>
        </w:rPr>
        <w:t>Adjournment</w:t>
      </w:r>
    </w:p>
    <w:p w14:paraId="4BF1D276" w14:textId="77777777" w:rsidR="00184E4C" w:rsidRPr="000B1AD8" w:rsidRDefault="00184E4C" w:rsidP="005F73A3">
      <w:pPr>
        <w:widowControl/>
        <w:overflowPunct w:val="0"/>
        <w:ind w:left="1440" w:hanging="720"/>
        <w:jc w:val="both"/>
        <w:textAlignment w:val="baseline"/>
        <w:rPr>
          <w:sz w:val="16"/>
          <w:szCs w:val="16"/>
        </w:rPr>
      </w:pPr>
    </w:p>
    <w:p w14:paraId="1723C4EC" w14:textId="4DA6D2C7" w:rsidR="009921E9" w:rsidRPr="005B0720" w:rsidRDefault="009921E9" w:rsidP="005F73A3">
      <w:pPr>
        <w:pStyle w:val="Quick1"/>
        <w:numPr>
          <w:ilvl w:val="0"/>
          <w:numId w:val="0"/>
        </w:numPr>
        <w:tabs>
          <w:tab w:val="left" w:pos="-1440"/>
        </w:tabs>
        <w:ind w:left="720" w:hanging="720"/>
        <w:jc w:val="both"/>
        <w:rPr>
          <w:b/>
          <w:szCs w:val="20"/>
        </w:rPr>
      </w:pPr>
      <w:r>
        <w:rPr>
          <w:sz w:val="24"/>
          <w:szCs w:val="20"/>
        </w:rPr>
        <w:tab/>
      </w:r>
      <w:r w:rsidR="008557B3">
        <w:rPr>
          <w:b/>
          <w:szCs w:val="20"/>
        </w:rPr>
        <w:t>5-11-23</w:t>
      </w:r>
      <w:r w:rsidRPr="005B0720">
        <w:rPr>
          <w:b/>
          <w:szCs w:val="20"/>
        </w:rPr>
        <w:t>-</w:t>
      </w:r>
      <w:r w:rsidR="006C5B09">
        <w:rPr>
          <w:b/>
          <w:szCs w:val="20"/>
        </w:rPr>
        <w:t>5</w:t>
      </w:r>
      <w:r w:rsidRPr="005B0720">
        <w:rPr>
          <w:b/>
          <w:szCs w:val="20"/>
        </w:rPr>
        <w:t xml:space="preserve"> Vote</w:t>
      </w:r>
    </w:p>
    <w:p w14:paraId="52465339" w14:textId="65C0A78A" w:rsidR="009921E9" w:rsidRPr="005B0720" w:rsidRDefault="009921E9" w:rsidP="005F73A3">
      <w:pPr>
        <w:pStyle w:val="Quick1"/>
        <w:numPr>
          <w:ilvl w:val="0"/>
          <w:numId w:val="0"/>
        </w:numPr>
        <w:tabs>
          <w:tab w:val="left" w:pos="-1440"/>
        </w:tabs>
        <w:ind w:left="720" w:hanging="720"/>
        <w:jc w:val="both"/>
        <w:rPr>
          <w:szCs w:val="20"/>
        </w:rPr>
      </w:pPr>
      <w:r w:rsidRPr="005B0720">
        <w:rPr>
          <w:szCs w:val="20"/>
        </w:rPr>
        <w:tab/>
        <w:t>MOTION:</w:t>
      </w:r>
      <w:r w:rsidR="003B2715">
        <w:rPr>
          <w:szCs w:val="20"/>
        </w:rPr>
        <w:t xml:space="preserve">  Roy Miller</w:t>
      </w:r>
      <w:r w:rsidR="00D62C1B">
        <w:rPr>
          <w:szCs w:val="20"/>
        </w:rPr>
        <w:t xml:space="preserve">  </w:t>
      </w:r>
      <w:r w:rsidR="009440A7">
        <w:rPr>
          <w:szCs w:val="20"/>
        </w:rPr>
        <w:tab/>
      </w:r>
      <w:r w:rsidR="009440A7">
        <w:rPr>
          <w:szCs w:val="20"/>
        </w:rPr>
        <w:tab/>
      </w:r>
      <w:r w:rsidRPr="005B0720">
        <w:rPr>
          <w:szCs w:val="20"/>
        </w:rPr>
        <w:tab/>
        <w:t>SECOND:</w:t>
      </w:r>
      <w:r w:rsidR="003B2715">
        <w:rPr>
          <w:szCs w:val="20"/>
        </w:rPr>
        <w:t xml:space="preserve">  Tod Hug</w:t>
      </w:r>
      <w:r w:rsidRPr="005B0720">
        <w:rPr>
          <w:szCs w:val="20"/>
        </w:rPr>
        <w:tab/>
      </w:r>
      <w:r w:rsidR="005B0720">
        <w:rPr>
          <w:szCs w:val="20"/>
        </w:rPr>
        <w:tab/>
      </w:r>
      <w:r w:rsidRPr="005B0720">
        <w:rPr>
          <w:szCs w:val="20"/>
        </w:rPr>
        <w:t>MOTION PASSED</w:t>
      </w:r>
    </w:p>
    <w:p w14:paraId="6EF3821A" w14:textId="77777777" w:rsidR="00E04B77" w:rsidRPr="000B1AD8" w:rsidRDefault="00E04B77" w:rsidP="005F73A3">
      <w:pPr>
        <w:widowControl/>
        <w:overflowPunct w:val="0"/>
        <w:ind w:left="720" w:hanging="720"/>
        <w:jc w:val="both"/>
        <w:textAlignment w:val="baseline"/>
        <w:rPr>
          <w:sz w:val="16"/>
          <w:szCs w:val="16"/>
          <w:u w:val="single"/>
        </w:rPr>
      </w:pPr>
    </w:p>
    <w:p w14:paraId="0ED31BD4" w14:textId="036CF141" w:rsidR="00FD505A" w:rsidRDefault="003D513D" w:rsidP="00E20E1C">
      <w:pPr>
        <w:ind w:firstLine="720"/>
        <w:jc w:val="both"/>
        <w:rPr>
          <w:szCs w:val="20"/>
        </w:rPr>
      </w:pPr>
      <w:r>
        <w:rPr>
          <w:szCs w:val="20"/>
        </w:rPr>
        <w:t>The meeting adjou</w:t>
      </w:r>
      <w:r w:rsidR="00D25199">
        <w:rPr>
          <w:szCs w:val="20"/>
        </w:rPr>
        <w:t>rned at</w:t>
      </w:r>
      <w:r w:rsidR="00B96D65">
        <w:rPr>
          <w:szCs w:val="20"/>
        </w:rPr>
        <w:t xml:space="preserve"> </w:t>
      </w:r>
      <w:r w:rsidR="003B2715">
        <w:rPr>
          <w:szCs w:val="20"/>
        </w:rPr>
        <w:t xml:space="preserve">5:46 </w:t>
      </w:r>
      <w:r w:rsidR="0035554A">
        <w:rPr>
          <w:szCs w:val="20"/>
        </w:rPr>
        <w:t>p</w:t>
      </w:r>
      <w:r w:rsidR="009921E9" w:rsidRPr="00B27E2F">
        <w:rPr>
          <w:szCs w:val="20"/>
        </w:rPr>
        <w:t>.m.</w:t>
      </w:r>
      <w:r w:rsidR="00D45297" w:rsidRPr="00B27E2F">
        <w:rPr>
          <w:szCs w:val="20"/>
        </w:rPr>
        <w:t xml:space="preserve"> </w:t>
      </w:r>
    </w:p>
    <w:p w14:paraId="53DF5B92" w14:textId="77777777" w:rsidR="00A3740D" w:rsidRDefault="00A3740D" w:rsidP="00E20E1C">
      <w:pPr>
        <w:ind w:firstLine="720"/>
        <w:jc w:val="both"/>
        <w:rPr>
          <w:szCs w:val="20"/>
        </w:rPr>
      </w:pPr>
    </w:p>
    <w:p w14:paraId="3AC8DBC9" w14:textId="77777777" w:rsidR="00A3740D" w:rsidRDefault="00A3740D" w:rsidP="00E20E1C">
      <w:pPr>
        <w:ind w:firstLine="720"/>
        <w:jc w:val="both"/>
        <w:rPr>
          <w:sz w:val="24"/>
          <w:u w:val="single"/>
        </w:rPr>
      </w:pPr>
    </w:p>
    <w:p w14:paraId="46A48F80"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2220767" w14:textId="224F9C5B"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9440A7">
        <w:rPr>
          <w:sz w:val="20"/>
          <w:szCs w:val="20"/>
        </w:rPr>
        <w:t>John Nye</w:t>
      </w:r>
      <w:r w:rsidRPr="005F73A3">
        <w:rPr>
          <w:sz w:val="20"/>
          <w:szCs w:val="20"/>
        </w:rPr>
        <w:tab/>
      </w:r>
    </w:p>
    <w:sectPr w:rsidR="00193BF4" w:rsidSect="00323C05">
      <w:footerReference w:type="even" r:id="rId9"/>
      <w:endnotePr>
        <w:numFmt w:val="decimal"/>
      </w:endnotePr>
      <w:type w:val="continuous"/>
      <w:pgSz w:w="12240" w:h="15840"/>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9C7C" w14:textId="77777777" w:rsidR="00401B87" w:rsidRDefault="00401B87">
      <w:r>
        <w:separator/>
      </w:r>
    </w:p>
  </w:endnote>
  <w:endnote w:type="continuationSeparator" w:id="0">
    <w:p w14:paraId="42A5652A" w14:textId="77777777" w:rsidR="00401B87" w:rsidRDefault="0040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2E92" w14:textId="77777777" w:rsidR="00401B87" w:rsidRDefault="00424E59">
    <w:pPr>
      <w:pStyle w:val="Footer"/>
      <w:framePr w:wrap="around" w:vAnchor="text" w:hAnchor="margin" w:xAlign="center" w:y="1"/>
      <w:rPr>
        <w:rStyle w:val="PageNumber"/>
      </w:rPr>
    </w:pPr>
    <w:r>
      <w:rPr>
        <w:rStyle w:val="PageNumber"/>
      </w:rPr>
      <w:fldChar w:fldCharType="begin"/>
    </w:r>
    <w:r w:rsidR="00401B87">
      <w:rPr>
        <w:rStyle w:val="PageNumber"/>
      </w:rPr>
      <w:instrText xml:space="preserve">PAGE  </w:instrText>
    </w:r>
    <w:r>
      <w:rPr>
        <w:rStyle w:val="PageNumber"/>
      </w:rPr>
      <w:fldChar w:fldCharType="end"/>
    </w:r>
  </w:p>
  <w:p w14:paraId="30605A67" w14:textId="77777777" w:rsidR="00401B87" w:rsidRDefault="00401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D574" w14:textId="77777777" w:rsidR="00401B87" w:rsidRDefault="00401B87">
      <w:r>
        <w:separator/>
      </w:r>
    </w:p>
  </w:footnote>
  <w:footnote w:type="continuationSeparator" w:id="0">
    <w:p w14:paraId="2CE68CF2" w14:textId="77777777" w:rsidR="00401B87" w:rsidRDefault="0040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9F8643A4"/>
    <w:lvl w:ilvl="0" w:tplc="4DA29006">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0992"/>
    <w:multiLevelType w:val="hybridMultilevel"/>
    <w:tmpl w:val="7C90115C"/>
    <w:lvl w:ilvl="0" w:tplc="6E2E6734">
      <w:start w:val="1"/>
      <w:numFmt w:val="upperLetter"/>
      <w:lvlText w:val="%1."/>
      <w:lvlJc w:val="left"/>
      <w:pPr>
        <w:ind w:left="12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B6B1F75"/>
    <w:multiLevelType w:val="hybridMultilevel"/>
    <w:tmpl w:val="3A34680E"/>
    <w:lvl w:ilvl="0" w:tplc="5D4211CC">
      <w:start w:val="1"/>
      <w:numFmt w:val="upperLetter"/>
      <w:lvlText w:val="%1."/>
      <w:lvlJc w:val="left"/>
      <w:pPr>
        <w:ind w:left="1440" w:hanging="360"/>
      </w:pPr>
      <w:rPr>
        <w:rFonts w:hint="default"/>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2"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9A376B"/>
    <w:multiLevelType w:val="hybridMultilevel"/>
    <w:tmpl w:val="5AF62B34"/>
    <w:lvl w:ilvl="0" w:tplc="A2728A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DB59DE"/>
    <w:multiLevelType w:val="multilevel"/>
    <w:tmpl w:val="D6C623F0"/>
    <w:lvl w:ilvl="0">
      <w:start w:val="2"/>
      <w:numFmt w:val="decimal"/>
      <w:lvlText w:val="%1"/>
      <w:lvlJc w:val="left"/>
      <w:pPr>
        <w:ind w:left="756" w:hanging="756"/>
      </w:pPr>
      <w:rPr>
        <w:rFonts w:hint="default"/>
      </w:rPr>
    </w:lvl>
    <w:lvl w:ilvl="1">
      <w:start w:val="8"/>
      <w:numFmt w:val="decimal"/>
      <w:lvlText w:val="%1-%2"/>
      <w:lvlJc w:val="left"/>
      <w:pPr>
        <w:ind w:left="996" w:hanging="756"/>
      </w:pPr>
      <w:rPr>
        <w:rFonts w:hint="default"/>
      </w:rPr>
    </w:lvl>
    <w:lvl w:ilvl="2">
      <w:start w:val="18"/>
      <w:numFmt w:val="decimal"/>
      <w:lvlText w:val="%1-%2-%3"/>
      <w:lvlJc w:val="left"/>
      <w:pPr>
        <w:ind w:left="1236" w:hanging="756"/>
      </w:pPr>
      <w:rPr>
        <w:rFonts w:hint="default"/>
      </w:rPr>
    </w:lvl>
    <w:lvl w:ilvl="3">
      <w:start w:val="4"/>
      <w:numFmt w:val="decimal"/>
      <w:lvlText w:val="%1-%2-%3-%4"/>
      <w:lvlJc w:val="left"/>
      <w:pPr>
        <w:ind w:left="1476" w:hanging="756"/>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267592">
    <w:abstractNumId w:val="0"/>
    <w:lvlOverride w:ilvl="0">
      <w:startOverride w:val="1"/>
      <w:lvl w:ilvl="0">
        <w:start w:val="1"/>
        <w:numFmt w:val="decimal"/>
        <w:pStyle w:val="Quick1"/>
        <w:lvlText w:val="%1."/>
        <w:lvlJc w:val="left"/>
      </w:lvl>
    </w:lvlOverride>
  </w:num>
  <w:num w:numId="2" w16cid:durableId="490677925">
    <w:abstractNumId w:val="1"/>
    <w:lvlOverride w:ilvl="0">
      <w:startOverride w:val="1"/>
      <w:lvl w:ilvl="0">
        <w:start w:val="1"/>
        <w:numFmt w:val="decimal"/>
        <w:pStyle w:val="QuickA"/>
        <w:lvlText w:val="%1."/>
        <w:lvlJc w:val="left"/>
      </w:lvl>
    </w:lvlOverride>
  </w:num>
  <w:num w:numId="3" w16cid:durableId="1361589866">
    <w:abstractNumId w:val="0"/>
    <w:lvlOverride w:ilvl="0">
      <w:startOverride w:val="13"/>
      <w:lvl w:ilvl="0">
        <w:start w:val="13"/>
        <w:numFmt w:val="decimal"/>
        <w:pStyle w:val="Quick1"/>
        <w:lvlText w:val="%1."/>
        <w:lvlJc w:val="left"/>
      </w:lvl>
    </w:lvlOverride>
  </w:num>
  <w:num w:numId="4" w16cid:durableId="459566810">
    <w:abstractNumId w:val="18"/>
  </w:num>
  <w:num w:numId="5" w16cid:durableId="722631667">
    <w:abstractNumId w:val="22"/>
  </w:num>
  <w:num w:numId="6" w16cid:durableId="1836726113">
    <w:abstractNumId w:val="10"/>
  </w:num>
  <w:num w:numId="7" w16cid:durableId="1700618394">
    <w:abstractNumId w:val="0"/>
    <w:lvlOverride w:ilvl="0">
      <w:startOverride w:val="17"/>
      <w:lvl w:ilvl="0">
        <w:start w:val="17"/>
        <w:numFmt w:val="decimal"/>
        <w:pStyle w:val="Quick1"/>
        <w:lvlText w:val="%1."/>
        <w:lvlJc w:val="left"/>
      </w:lvl>
    </w:lvlOverride>
  </w:num>
  <w:num w:numId="8" w16cid:durableId="1201816175">
    <w:abstractNumId w:val="21"/>
  </w:num>
  <w:num w:numId="9" w16cid:durableId="84032805">
    <w:abstractNumId w:val="13"/>
  </w:num>
  <w:num w:numId="10" w16cid:durableId="2019892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573300">
    <w:abstractNumId w:val="6"/>
  </w:num>
  <w:num w:numId="12" w16cid:durableId="1954315350">
    <w:abstractNumId w:val="11"/>
  </w:num>
  <w:num w:numId="13" w16cid:durableId="454835146">
    <w:abstractNumId w:val="25"/>
  </w:num>
  <w:num w:numId="14" w16cid:durableId="1175338836">
    <w:abstractNumId w:val="29"/>
  </w:num>
  <w:num w:numId="15" w16cid:durableId="1739354786">
    <w:abstractNumId w:val="7"/>
  </w:num>
  <w:num w:numId="16" w16cid:durableId="563610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921888">
    <w:abstractNumId w:val="5"/>
  </w:num>
  <w:num w:numId="18" w16cid:durableId="1557080308">
    <w:abstractNumId w:val="12"/>
  </w:num>
  <w:num w:numId="19" w16cid:durableId="1360929194">
    <w:abstractNumId w:val="16"/>
  </w:num>
  <w:num w:numId="20" w16cid:durableId="2037656075">
    <w:abstractNumId w:val="4"/>
  </w:num>
  <w:num w:numId="21" w16cid:durableId="1715930418">
    <w:abstractNumId w:val="15"/>
  </w:num>
  <w:num w:numId="22" w16cid:durableId="2006856195">
    <w:abstractNumId w:val="24"/>
  </w:num>
  <w:num w:numId="23" w16cid:durableId="2095205098">
    <w:abstractNumId w:val="28"/>
  </w:num>
  <w:num w:numId="24" w16cid:durableId="865096848">
    <w:abstractNumId w:val="23"/>
  </w:num>
  <w:num w:numId="25" w16cid:durableId="367415006">
    <w:abstractNumId w:val="14"/>
  </w:num>
  <w:num w:numId="26" w16cid:durableId="832378792">
    <w:abstractNumId w:val="26"/>
  </w:num>
  <w:num w:numId="27" w16cid:durableId="473302389">
    <w:abstractNumId w:val="19"/>
  </w:num>
  <w:num w:numId="28" w16cid:durableId="63841967">
    <w:abstractNumId w:val="17"/>
  </w:num>
  <w:num w:numId="29" w16cid:durableId="641009136">
    <w:abstractNumId w:val="3"/>
  </w:num>
  <w:num w:numId="30" w16cid:durableId="1508247511">
    <w:abstractNumId w:val="2"/>
  </w:num>
  <w:num w:numId="31" w16cid:durableId="194195686">
    <w:abstractNumId w:val="9"/>
  </w:num>
  <w:num w:numId="32" w16cid:durableId="710499604">
    <w:abstractNumId w:val="27"/>
  </w:num>
  <w:num w:numId="33" w16cid:durableId="1505128967">
    <w:abstractNumId w:val="20"/>
  </w:num>
  <w:num w:numId="34" w16cid:durableId="1276717717">
    <w:abstractNumId w:val="30"/>
  </w:num>
  <w:num w:numId="35" w16cid:durableId="1764455472">
    <w:abstractNumId w:val="0"/>
    <w:lvlOverride w:ilvl="0">
      <w:lvl w:ilvl="0">
        <w:start w:val="1"/>
        <w:numFmt w:val="decimal"/>
        <w:pStyle w:val="Quick1"/>
        <w:lvlText w:val="%1."/>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2F84"/>
    <w:rsid w:val="000170A0"/>
    <w:rsid w:val="000215C2"/>
    <w:rsid w:val="00022F94"/>
    <w:rsid w:val="0002322F"/>
    <w:rsid w:val="0002472E"/>
    <w:rsid w:val="00025BB7"/>
    <w:rsid w:val="00025D68"/>
    <w:rsid w:val="000304D9"/>
    <w:rsid w:val="00034D9F"/>
    <w:rsid w:val="00037F7C"/>
    <w:rsid w:val="00043B82"/>
    <w:rsid w:val="00043DFD"/>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F1485"/>
    <w:rsid w:val="000F497B"/>
    <w:rsid w:val="001007D5"/>
    <w:rsid w:val="00102809"/>
    <w:rsid w:val="00105543"/>
    <w:rsid w:val="00106BC0"/>
    <w:rsid w:val="001313AE"/>
    <w:rsid w:val="00133193"/>
    <w:rsid w:val="00133F7C"/>
    <w:rsid w:val="00146E0D"/>
    <w:rsid w:val="00156B91"/>
    <w:rsid w:val="00160304"/>
    <w:rsid w:val="001635C7"/>
    <w:rsid w:val="001758E2"/>
    <w:rsid w:val="00184E4C"/>
    <w:rsid w:val="001867F2"/>
    <w:rsid w:val="00193BF4"/>
    <w:rsid w:val="001A650C"/>
    <w:rsid w:val="001A7A5D"/>
    <w:rsid w:val="001B1987"/>
    <w:rsid w:val="001B709E"/>
    <w:rsid w:val="001C1876"/>
    <w:rsid w:val="001C1E9C"/>
    <w:rsid w:val="001D0362"/>
    <w:rsid w:val="001D2CE0"/>
    <w:rsid w:val="001D59D1"/>
    <w:rsid w:val="001F1423"/>
    <w:rsid w:val="001F5C62"/>
    <w:rsid w:val="002051AF"/>
    <w:rsid w:val="00205C60"/>
    <w:rsid w:val="00213A18"/>
    <w:rsid w:val="0021690A"/>
    <w:rsid w:val="00220415"/>
    <w:rsid w:val="00222512"/>
    <w:rsid w:val="002265D2"/>
    <w:rsid w:val="00226640"/>
    <w:rsid w:val="00226839"/>
    <w:rsid w:val="00231A0B"/>
    <w:rsid w:val="00235947"/>
    <w:rsid w:val="00235F2E"/>
    <w:rsid w:val="00245D8F"/>
    <w:rsid w:val="00262299"/>
    <w:rsid w:val="0026302A"/>
    <w:rsid w:val="00272397"/>
    <w:rsid w:val="0028534E"/>
    <w:rsid w:val="0029366F"/>
    <w:rsid w:val="00294B83"/>
    <w:rsid w:val="002A20D7"/>
    <w:rsid w:val="002A68D6"/>
    <w:rsid w:val="002A6A0F"/>
    <w:rsid w:val="002A7C7F"/>
    <w:rsid w:val="002B013E"/>
    <w:rsid w:val="002B1BA8"/>
    <w:rsid w:val="002C402A"/>
    <w:rsid w:val="002C4191"/>
    <w:rsid w:val="002D5437"/>
    <w:rsid w:val="002D7892"/>
    <w:rsid w:val="002E0364"/>
    <w:rsid w:val="002E0A18"/>
    <w:rsid w:val="002E3BD3"/>
    <w:rsid w:val="002E5495"/>
    <w:rsid w:val="002F1D26"/>
    <w:rsid w:val="002F4829"/>
    <w:rsid w:val="00303E5D"/>
    <w:rsid w:val="00315C4A"/>
    <w:rsid w:val="00323C05"/>
    <w:rsid w:val="00326B51"/>
    <w:rsid w:val="00327F09"/>
    <w:rsid w:val="00331106"/>
    <w:rsid w:val="00335EA7"/>
    <w:rsid w:val="003364CC"/>
    <w:rsid w:val="003404A5"/>
    <w:rsid w:val="003410F8"/>
    <w:rsid w:val="00342BA9"/>
    <w:rsid w:val="00351A5A"/>
    <w:rsid w:val="00354CF9"/>
    <w:rsid w:val="00354E26"/>
    <w:rsid w:val="00354FD9"/>
    <w:rsid w:val="0035554A"/>
    <w:rsid w:val="003562B3"/>
    <w:rsid w:val="00356CA3"/>
    <w:rsid w:val="00362037"/>
    <w:rsid w:val="00362767"/>
    <w:rsid w:val="00366478"/>
    <w:rsid w:val="00370B68"/>
    <w:rsid w:val="003710F7"/>
    <w:rsid w:val="0037363C"/>
    <w:rsid w:val="003760A7"/>
    <w:rsid w:val="00377398"/>
    <w:rsid w:val="00383614"/>
    <w:rsid w:val="0038563F"/>
    <w:rsid w:val="003860EE"/>
    <w:rsid w:val="00387D20"/>
    <w:rsid w:val="00387ED7"/>
    <w:rsid w:val="00392902"/>
    <w:rsid w:val="003949D8"/>
    <w:rsid w:val="003B2715"/>
    <w:rsid w:val="003B575B"/>
    <w:rsid w:val="003C05BB"/>
    <w:rsid w:val="003C08CE"/>
    <w:rsid w:val="003D513D"/>
    <w:rsid w:val="003D66AA"/>
    <w:rsid w:val="003E3B6D"/>
    <w:rsid w:val="003E5D5B"/>
    <w:rsid w:val="003E7DE2"/>
    <w:rsid w:val="003F0EB9"/>
    <w:rsid w:val="003F15AD"/>
    <w:rsid w:val="003F4699"/>
    <w:rsid w:val="00401A66"/>
    <w:rsid w:val="00401B87"/>
    <w:rsid w:val="00410ED6"/>
    <w:rsid w:val="004110C0"/>
    <w:rsid w:val="00411693"/>
    <w:rsid w:val="00411D42"/>
    <w:rsid w:val="0041343B"/>
    <w:rsid w:val="00415629"/>
    <w:rsid w:val="00415BF2"/>
    <w:rsid w:val="0041614A"/>
    <w:rsid w:val="0041733E"/>
    <w:rsid w:val="004206A0"/>
    <w:rsid w:val="00422BC8"/>
    <w:rsid w:val="00424E59"/>
    <w:rsid w:val="004325D8"/>
    <w:rsid w:val="00432B4A"/>
    <w:rsid w:val="004465F5"/>
    <w:rsid w:val="004475E1"/>
    <w:rsid w:val="00450E8E"/>
    <w:rsid w:val="00456206"/>
    <w:rsid w:val="004652F0"/>
    <w:rsid w:val="004735B2"/>
    <w:rsid w:val="004750F0"/>
    <w:rsid w:val="004819B2"/>
    <w:rsid w:val="00481D29"/>
    <w:rsid w:val="0048330E"/>
    <w:rsid w:val="00483DAC"/>
    <w:rsid w:val="0048501A"/>
    <w:rsid w:val="00494C8D"/>
    <w:rsid w:val="004B046E"/>
    <w:rsid w:val="004B07FE"/>
    <w:rsid w:val="004C08A2"/>
    <w:rsid w:val="004C0C36"/>
    <w:rsid w:val="004C3A4D"/>
    <w:rsid w:val="004C60CC"/>
    <w:rsid w:val="004D1748"/>
    <w:rsid w:val="004D2BCA"/>
    <w:rsid w:val="004D7D0D"/>
    <w:rsid w:val="004E1160"/>
    <w:rsid w:val="004E37D9"/>
    <w:rsid w:val="004E3FD2"/>
    <w:rsid w:val="004F4B7B"/>
    <w:rsid w:val="005000B4"/>
    <w:rsid w:val="00500CE2"/>
    <w:rsid w:val="00501323"/>
    <w:rsid w:val="0050220B"/>
    <w:rsid w:val="00507A1C"/>
    <w:rsid w:val="0051005D"/>
    <w:rsid w:val="005104CE"/>
    <w:rsid w:val="0051730D"/>
    <w:rsid w:val="00524856"/>
    <w:rsid w:val="00524C53"/>
    <w:rsid w:val="00531280"/>
    <w:rsid w:val="00532391"/>
    <w:rsid w:val="005410A0"/>
    <w:rsid w:val="00543CF5"/>
    <w:rsid w:val="00544044"/>
    <w:rsid w:val="00544227"/>
    <w:rsid w:val="0055688A"/>
    <w:rsid w:val="00561C03"/>
    <w:rsid w:val="00565A2C"/>
    <w:rsid w:val="00565EFD"/>
    <w:rsid w:val="00571BB4"/>
    <w:rsid w:val="00573015"/>
    <w:rsid w:val="005800F6"/>
    <w:rsid w:val="00585748"/>
    <w:rsid w:val="005955A3"/>
    <w:rsid w:val="00597659"/>
    <w:rsid w:val="005A0CCB"/>
    <w:rsid w:val="005A6319"/>
    <w:rsid w:val="005A6680"/>
    <w:rsid w:val="005A6C68"/>
    <w:rsid w:val="005A6EB5"/>
    <w:rsid w:val="005B0720"/>
    <w:rsid w:val="005B3B59"/>
    <w:rsid w:val="005B53DA"/>
    <w:rsid w:val="005B55AD"/>
    <w:rsid w:val="005B6D41"/>
    <w:rsid w:val="005B723D"/>
    <w:rsid w:val="005C4F8B"/>
    <w:rsid w:val="005C618B"/>
    <w:rsid w:val="005C6636"/>
    <w:rsid w:val="005D08A9"/>
    <w:rsid w:val="005D4BDB"/>
    <w:rsid w:val="005D5ADD"/>
    <w:rsid w:val="005D6F69"/>
    <w:rsid w:val="005D7833"/>
    <w:rsid w:val="005D7CDF"/>
    <w:rsid w:val="005E2893"/>
    <w:rsid w:val="005E5C4D"/>
    <w:rsid w:val="005F006E"/>
    <w:rsid w:val="005F0317"/>
    <w:rsid w:val="005F3863"/>
    <w:rsid w:val="005F3AC7"/>
    <w:rsid w:val="005F3E68"/>
    <w:rsid w:val="005F4350"/>
    <w:rsid w:val="005F6FFD"/>
    <w:rsid w:val="005F73A3"/>
    <w:rsid w:val="006043E7"/>
    <w:rsid w:val="00611D39"/>
    <w:rsid w:val="00631B47"/>
    <w:rsid w:val="00634B3E"/>
    <w:rsid w:val="0063580C"/>
    <w:rsid w:val="006413AE"/>
    <w:rsid w:val="00641F6B"/>
    <w:rsid w:val="00645C19"/>
    <w:rsid w:val="0065289E"/>
    <w:rsid w:val="006613F9"/>
    <w:rsid w:val="00663035"/>
    <w:rsid w:val="00664462"/>
    <w:rsid w:val="00673B23"/>
    <w:rsid w:val="006779B7"/>
    <w:rsid w:val="0068310D"/>
    <w:rsid w:val="0068795D"/>
    <w:rsid w:val="00687AE6"/>
    <w:rsid w:val="006A00CC"/>
    <w:rsid w:val="006A13DB"/>
    <w:rsid w:val="006A3F3E"/>
    <w:rsid w:val="006A771D"/>
    <w:rsid w:val="006A7D2A"/>
    <w:rsid w:val="006B43C5"/>
    <w:rsid w:val="006C5B09"/>
    <w:rsid w:val="006D16AC"/>
    <w:rsid w:val="006D30CB"/>
    <w:rsid w:val="006D565B"/>
    <w:rsid w:val="006D7AD0"/>
    <w:rsid w:val="006E2E5A"/>
    <w:rsid w:val="006E37B4"/>
    <w:rsid w:val="006E53C1"/>
    <w:rsid w:val="006F1ED2"/>
    <w:rsid w:val="006F2B62"/>
    <w:rsid w:val="006F6274"/>
    <w:rsid w:val="007049D0"/>
    <w:rsid w:val="00730089"/>
    <w:rsid w:val="00736A7E"/>
    <w:rsid w:val="00747DF5"/>
    <w:rsid w:val="00756857"/>
    <w:rsid w:val="0075746F"/>
    <w:rsid w:val="007658B0"/>
    <w:rsid w:val="00766AAB"/>
    <w:rsid w:val="0077355C"/>
    <w:rsid w:val="0077396A"/>
    <w:rsid w:val="007806AC"/>
    <w:rsid w:val="00781CAB"/>
    <w:rsid w:val="0078573A"/>
    <w:rsid w:val="00785CDF"/>
    <w:rsid w:val="007917CF"/>
    <w:rsid w:val="00794394"/>
    <w:rsid w:val="007A3B9B"/>
    <w:rsid w:val="007A599B"/>
    <w:rsid w:val="007B1C7B"/>
    <w:rsid w:val="007B5746"/>
    <w:rsid w:val="007C3BAD"/>
    <w:rsid w:val="007C4B48"/>
    <w:rsid w:val="007F203F"/>
    <w:rsid w:val="007F20D6"/>
    <w:rsid w:val="007F5FC7"/>
    <w:rsid w:val="00801B16"/>
    <w:rsid w:val="00812949"/>
    <w:rsid w:val="00814EDC"/>
    <w:rsid w:val="00822A02"/>
    <w:rsid w:val="008251B5"/>
    <w:rsid w:val="00825D11"/>
    <w:rsid w:val="0082700A"/>
    <w:rsid w:val="00830290"/>
    <w:rsid w:val="00831A42"/>
    <w:rsid w:val="00832F0E"/>
    <w:rsid w:val="00834340"/>
    <w:rsid w:val="00837C22"/>
    <w:rsid w:val="0084014A"/>
    <w:rsid w:val="00844A94"/>
    <w:rsid w:val="008557B3"/>
    <w:rsid w:val="00860DAA"/>
    <w:rsid w:val="008610D3"/>
    <w:rsid w:val="00861122"/>
    <w:rsid w:val="008659AD"/>
    <w:rsid w:val="00866A81"/>
    <w:rsid w:val="00874726"/>
    <w:rsid w:val="00876590"/>
    <w:rsid w:val="00876CEE"/>
    <w:rsid w:val="00877206"/>
    <w:rsid w:val="0088124A"/>
    <w:rsid w:val="00881280"/>
    <w:rsid w:val="00884677"/>
    <w:rsid w:val="008926AD"/>
    <w:rsid w:val="00892AD3"/>
    <w:rsid w:val="00893B3E"/>
    <w:rsid w:val="0089748F"/>
    <w:rsid w:val="008A2C91"/>
    <w:rsid w:val="008C0B50"/>
    <w:rsid w:val="008C3D00"/>
    <w:rsid w:val="008D0B5C"/>
    <w:rsid w:val="008D1214"/>
    <w:rsid w:val="008D6D4B"/>
    <w:rsid w:val="008E3613"/>
    <w:rsid w:val="008E4CD3"/>
    <w:rsid w:val="008F755E"/>
    <w:rsid w:val="00900CFF"/>
    <w:rsid w:val="00903BF7"/>
    <w:rsid w:val="00913547"/>
    <w:rsid w:val="00926574"/>
    <w:rsid w:val="00926EDE"/>
    <w:rsid w:val="0092709D"/>
    <w:rsid w:val="0093020D"/>
    <w:rsid w:val="009308A8"/>
    <w:rsid w:val="00931A16"/>
    <w:rsid w:val="00931C55"/>
    <w:rsid w:val="00931C98"/>
    <w:rsid w:val="00932E66"/>
    <w:rsid w:val="00933F8D"/>
    <w:rsid w:val="009440A7"/>
    <w:rsid w:val="00945552"/>
    <w:rsid w:val="00946C71"/>
    <w:rsid w:val="009470B8"/>
    <w:rsid w:val="00953EE3"/>
    <w:rsid w:val="00956996"/>
    <w:rsid w:val="00957441"/>
    <w:rsid w:val="00961C07"/>
    <w:rsid w:val="00964D33"/>
    <w:rsid w:val="009707B0"/>
    <w:rsid w:val="009733E4"/>
    <w:rsid w:val="00980A61"/>
    <w:rsid w:val="00981F01"/>
    <w:rsid w:val="00984FBD"/>
    <w:rsid w:val="00990920"/>
    <w:rsid w:val="009921E9"/>
    <w:rsid w:val="009944A4"/>
    <w:rsid w:val="00995105"/>
    <w:rsid w:val="009954AE"/>
    <w:rsid w:val="009978F0"/>
    <w:rsid w:val="009A2BE8"/>
    <w:rsid w:val="009A57D1"/>
    <w:rsid w:val="009A7440"/>
    <w:rsid w:val="009B28EE"/>
    <w:rsid w:val="009B47D2"/>
    <w:rsid w:val="009C05BE"/>
    <w:rsid w:val="009E1606"/>
    <w:rsid w:val="009E32CC"/>
    <w:rsid w:val="009E3A61"/>
    <w:rsid w:val="009E4FC1"/>
    <w:rsid w:val="009E67DE"/>
    <w:rsid w:val="009E7740"/>
    <w:rsid w:val="009F0DE5"/>
    <w:rsid w:val="009F7BAB"/>
    <w:rsid w:val="00A027A6"/>
    <w:rsid w:val="00A11EA0"/>
    <w:rsid w:val="00A12A1F"/>
    <w:rsid w:val="00A13DEF"/>
    <w:rsid w:val="00A20173"/>
    <w:rsid w:val="00A22235"/>
    <w:rsid w:val="00A36F59"/>
    <w:rsid w:val="00A3740D"/>
    <w:rsid w:val="00A4479A"/>
    <w:rsid w:val="00A44D91"/>
    <w:rsid w:val="00A472AB"/>
    <w:rsid w:val="00A509FA"/>
    <w:rsid w:val="00A60D2E"/>
    <w:rsid w:val="00A61188"/>
    <w:rsid w:val="00A635E7"/>
    <w:rsid w:val="00A71643"/>
    <w:rsid w:val="00A73ADD"/>
    <w:rsid w:val="00A83ABB"/>
    <w:rsid w:val="00A852AE"/>
    <w:rsid w:val="00A934B8"/>
    <w:rsid w:val="00A94EE6"/>
    <w:rsid w:val="00AA64E0"/>
    <w:rsid w:val="00AB453C"/>
    <w:rsid w:val="00AB6830"/>
    <w:rsid w:val="00AC0792"/>
    <w:rsid w:val="00AC4B06"/>
    <w:rsid w:val="00AD2381"/>
    <w:rsid w:val="00AD2BD5"/>
    <w:rsid w:val="00AD359D"/>
    <w:rsid w:val="00AD6619"/>
    <w:rsid w:val="00AE0A0F"/>
    <w:rsid w:val="00AE3818"/>
    <w:rsid w:val="00AE4C59"/>
    <w:rsid w:val="00AF34C2"/>
    <w:rsid w:val="00AF4721"/>
    <w:rsid w:val="00B0198F"/>
    <w:rsid w:val="00B0409E"/>
    <w:rsid w:val="00B04ED6"/>
    <w:rsid w:val="00B059ED"/>
    <w:rsid w:val="00B062C3"/>
    <w:rsid w:val="00B10ABE"/>
    <w:rsid w:val="00B12372"/>
    <w:rsid w:val="00B13C6F"/>
    <w:rsid w:val="00B236DD"/>
    <w:rsid w:val="00B27E2F"/>
    <w:rsid w:val="00B33BD8"/>
    <w:rsid w:val="00B429C6"/>
    <w:rsid w:val="00B43EDE"/>
    <w:rsid w:val="00B53B4D"/>
    <w:rsid w:val="00B56925"/>
    <w:rsid w:val="00B61F80"/>
    <w:rsid w:val="00B6536B"/>
    <w:rsid w:val="00B65EDC"/>
    <w:rsid w:val="00B7610F"/>
    <w:rsid w:val="00B91265"/>
    <w:rsid w:val="00B96D65"/>
    <w:rsid w:val="00BA5347"/>
    <w:rsid w:val="00BB1CBA"/>
    <w:rsid w:val="00BC5B9A"/>
    <w:rsid w:val="00BC5E0A"/>
    <w:rsid w:val="00BD23DB"/>
    <w:rsid w:val="00BD3666"/>
    <w:rsid w:val="00BD520F"/>
    <w:rsid w:val="00BD7143"/>
    <w:rsid w:val="00BF18A8"/>
    <w:rsid w:val="00BF53B6"/>
    <w:rsid w:val="00BF583C"/>
    <w:rsid w:val="00BF61D4"/>
    <w:rsid w:val="00C01BD9"/>
    <w:rsid w:val="00C16BFD"/>
    <w:rsid w:val="00C179C3"/>
    <w:rsid w:val="00C20572"/>
    <w:rsid w:val="00C20D20"/>
    <w:rsid w:val="00C22BDA"/>
    <w:rsid w:val="00C25AD5"/>
    <w:rsid w:val="00C262BA"/>
    <w:rsid w:val="00C2787B"/>
    <w:rsid w:val="00C45737"/>
    <w:rsid w:val="00C471BE"/>
    <w:rsid w:val="00C52185"/>
    <w:rsid w:val="00C52CCA"/>
    <w:rsid w:val="00C60A1E"/>
    <w:rsid w:val="00C63A3F"/>
    <w:rsid w:val="00C65894"/>
    <w:rsid w:val="00C673BD"/>
    <w:rsid w:val="00C67D90"/>
    <w:rsid w:val="00C7058A"/>
    <w:rsid w:val="00C7589B"/>
    <w:rsid w:val="00C76B61"/>
    <w:rsid w:val="00C806BA"/>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368"/>
    <w:rsid w:val="00D0022D"/>
    <w:rsid w:val="00D12546"/>
    <w:rsid w:val="00D134BC"/>
    <w:rsid w:val="00D16022"/>
    <w:rsid w:val="00D20053"/>
    <w:rsid w:val="00D20A30"/>
    <w:rsid w:val="00D242ED"/>
    <w:rsid w:val="00D24404"/>
    <w:rsid w:val="00D248B7"/>
    <w:rsid w:val="00D25117"/>
    <w:rsid w:val="00D25199"/>
    <w:rsid w:val="00D411FB"/>
    <w:rsid w:val="00D437FC"/>
    <w:rsid w:val="00D45297"/>
    <w:rsid w:val="00D46A78"/>
    <w:rsid w:val="00D5205F"/>
    <w:rsid w:val="00D616D0"/>
    <w:rsid w:val="00D62C1B"/>
    <w:rsid w:val="00D63995"/>
    <w:rsid w:val="00D63DE3"/>
    <w:rsid w:val="00D65469"/>
    <w:rsid w:val="00D7099B"/>
    <w:rsid w:val="00D84E10"/>
    <w:rsid w:val="00D932A7"/>
    <w:rsid w:val="00D93A7E"/>
    <w:rsid w:val="00D97A84"/>
    <w:rsid w:val="00DA4CB1"/>
    <w:rsid w:val="00DA7852"/>
    <w:rsid w:val="00DB0E44"/>
    <w:rsid w:val="00DB1221"/>
    <w:rsid w:val="00DB4E46"/>
    <w:rsid w:val="00DC19B5"/>
    <w:rsid w:val="00DC2076"/>
    <w:rsid w:val="00DC2A03"/>
    <w:rsid w:val="00DC2C1F"/>
    <w:rsid w:val="00DD17B0"/>
    <w:rsid w:val="00DD4D00"/>
    <w:rsid w:val="00DD6F2E"/>
    <w:rsid w:val="00DE0885"/>
    <w:rsid w:val="00DF69C0"/>
    <w:rsid w:val="00E01707"/>
    <w:rsid w:val="00E0217F"/>
    <w:rsid w:val="00E04B77"/>
    <w:rsid w:val="00E06E65"/>
    <w:rsid w:val="00E114C2"/>
    <w:rsid w:val="00E11880"/>
    <w:rsid w:val="00E163A6"/>
    <w:rsid w:val="00E16A59"/>
    <w:rsid w:val="00E20E1C"/>
    <w:rsid w:val="00E265EF"/>
    <w:rsid w:val="00E36FC4"/>
    <w:rsid w:val="00E42C31"/>
    <w:rsid w:val="00E4437C"/>
    <w:rsid w:val="00E46506"/>
    <w:rsid w:val="00E46C3B"/>
    <w:rsid w:val="00E545E4"/>
    <w:rsid w:val="00E570E5"/>
    <w:rsid w:val="00E60D41"/>
    <w:rsid w:val="00E709DC"/>
    <w:rsid w:val="00E71389"/>
    <w:rsid w:val="00E755EE"/>
    <w:rsid w:val="00E75DA1"/>
    <w:rsid w:val="00E86A3A"/>
    <w:rsid w:val="00EA49F8"/>
    <w:rsid w:val="00EA5857"/>
    <w:rsid w:val="00EA73AA"/>
    <w:rsid w:val="00EB2848"/>
    <w:rsid w:val="00EC7B19"/>
    <w:rsid w:val="00ED0647"/>
    <w:rsid w:val="00EE061C"/>
    <w:rsid w:val="00EE4B16"/>
    <w:rsid w:val="00EE5CC5"/>
    <w:rsid w:val="00EE6E9E"/>
    <w:rsid w:val="00EF3BBD"/>
    <w:rsid w:val="00EF50CA"/>
    <w:rsid w:val="00EF6AF3"/>
    <w:rsid w:val="00EF7C96"/>
    <w:rsid w:val="00F00C7A"/>
    <w:rsid w:val="00F02DDB"/>
    <w:rsid w:val="00F10D99"/>
    <w:rsid w:val="00F14A41"/>
    <w:rsid w:val="00F242F8"/>
    <w:rsid w:val="00F25196"/>
    <w:rsid w:val="00F34F9F"/>
    <w:rsid w:val="00F35EB9"/>
    <w:rsid w:val="00F363BF"/>
    <w:rsid w:val="00F44D57"/>
    <w:rsid w:val="00F46912"/>
    <w:rsid w:val="00F47078"/>
    <w:rsid w:val="00F51657"/>
    <w:rsid w:val="00F52F2B"/>
    <w:rsid w:val="00F66990"/>
    <w:rsid w:val="00F670EA"/>
    <w:rsid w:val="00F77331"/>
    <w:rsid w:val="00F77E72"/>
    <w:rsid w:val="00F919DE"/>
    <w:rsid w:val="00FA117E"/>
    <w:rsid w:val="00FA23DD"/>
    <w:rsid w:val="00FA5363"/>
    <w:rsid w:val="00FA743C"/>
    <w:rsid w:val="00FC4B9A"/>
    <w:rsid w:val="00FC6FE8"/>
    <w:rsid w:val="00FD4F2E"/>
    <w:rsid w:val="00FD505A"/>
    <w:rsid w:val="00FD7F85"/>
    <w:rsid w:val="00FE012E"/>
    <w:rsid w:val="00FE166B"/>
    <w:rsid w:val="00FE3137"/>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17A90"/>
  <w15:docId w15:val="{87E509E3-1E4B-4776-A143-AED765D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character" w:styleId="Hyperlink">
    <w:name w:val="Hyperlink"/>
    <w:basedOn w:val="DefaultParagraphFont"/>
    <w:uiPriority w:val="99"/>
    <w:semiHidden/>
    <w:unhideWhenUsed/>
    <w:rsid w:val="006C5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alopioidsettleme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14FB-8B1A-4A6E-81D9-1BB35E0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1811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15</cp:revision>
  <cp:lastPrinted>2022-05-13T13:20:00Z</cp:lastPrinted>
  <dcterms:created xsi:type="dcterms:W3CDTF">2023-04-24T18:03:00Z</dcterms:created>
  <dcterms:modified xsi:type="dcterms:W3CDTF">2023-06-01T19:10:00Z</dcterms:modified>
</cp:coreProperties>
</file>